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6D69" w14:textId="77777777" w:rsidR="00E07731" w:rsidRPr="001470C6" w:rsidRDefault="00E07731" w:rsidP="00E07731">
      <w:pPr>
        <w:suppressAutoHyphens/>
        <w:autoSpaceDE w:val="0"/>
        <w:autoSpaceDN w:val="0"/>
        <w:adjustRightInd w:val="0"/>
        <w:spacing w:before="170" w:after="0" w:line="400" w:lineRule="atLeast"/>
        <w:jc w:val="center"/>
        <w:textAlignment w:val="center"/>
        <w:rPr>
          <w:rFonts w:ascii="Simplified Arabic" w:hAnsi="Simplified Arabic" w:cs="Simplified Arabic"/>
          <w:b/>
          <w:bCs/>
          <w:color w:val="000000"/>
          <w:sz w:val="28"/>
          <w:szCs w:val="28"/>
          <w:rtl/>
        </w:rPr>
      </w:pPr>
    </w:p>
    <w:p w14:paraId="382134E7" w14:textId="77777777" w:rsidR="00E07731" w:rsidRPr="003B3A0F" w:rsidRDefault="00E07731" w:rsidP="00E07731">
      <w:pPr>
        <w:autoSpaceDE w:val="0"/>
        <w:autoSpaceDN w:val="0"/>
        <w:adjustRightInd w:val="0"/>
        <w:spacing w:after="0" w:line="240" w:lineRule="auto"/>
        <w:jc w:val="center"/>
        <w:rPr>
          <w:rFonts w:asciiTheme="majorBidi" w:hAnsiTheme="majorBidi" w:cstheme="majorBidi"/>
          <w:b/>
          <w:bCs/>
          <w:sz w:val="26"/>
          <w:szCs w:val="26"/>
        </w:rPr>
      </w:pPr>
      <w:r w:rsidRPr="003B3A0F">
        <w:rPr>
          <w:rFonts w:asciiTheme="majorBidi" w:hAnsiTheme="majorBidi" w:cstheme="majorBidi"/>
          <w:b/>
          <w:bCs/>
          <w:sz w:val="26"/>
          <w:szCs w:val="26"/>
        </w:rPr>
        <w:t>Glass-working evidence at Dibba, United Arab Emirates: An archaeometric</w:t>
      </w:r>
    </w:p>
    <w:p w14:paraId="6CF76100" w14:textId="77777777" w:rsidR="00E07731" w:rsidRPr="003B3A0F" w:rsidRDefault="00E07731" w:rsidP="00E07731">
      <w:pPr>
        <w:autoSpaceDE w:val="0"/>
        <w:autoSpaceDN w:val="0"/>
        <w:adjustRightInd w:val="0"/>
        <w:spacing w:after="0" w:line="240" w:lineRule="auto"/>
        <w:jc w:val="center"/>
        <w:rPr>
          <w:rFonts w:asciiTheme="majorBidi" w:hAnsiTheme="majorBidi" w:cstheme="majorBidi"/>
          <w:b/>
          <w:bCs/>
          <w:sz w:val="26"/>
          <w:szCs w:val="26"/>
        </w:rPr>
      </w:pPr>
      <w:r w:rsidRPr="003B3A0F">
        <w:rPr>
          <w:rFonts w:asciiTheme="majorBidi" w:hAnsiTheme="majorBidi" w:cstheme="majorBidi"/>
          <w:b/>
          <w:bCs/>
          <w:sz w:val="26"/>
          <w:szCs w:val="26"/>
        </w:rPr>
        <w:t>Study</w:t>
      </w:r>
    </w:p>
    <w:p w14:paraId="6C59A2FE" w14:textId="77777777" w:rsidR="003B15CE" w:rsidRPr="003B3A0F" w:rsidRDefault="003B15CE" w:rsidP="003B15CE">
      <w:pPr>
        <w:autoSpaceDE w:val="0"/>
        <w:autoSpaceDN w:val="0"/>
        <w:adjustRightInd w:val="0"/>
        <w:spacing w:after="0" w:line="240" w:lineRule="auto"/>
        <w:rPr>
          <w:rFonts w:asciiTheme="majorBidi" w:hAnsiTheme="majorBidi" w:cstheme="majorBidi"/>
          <w:b/>
          <w:bCs/>
          <w:kern w:val="0"/>
        </w:rPr>
      </w:pPr>
    </w:p>
    <w:p w14:paraId="45CECA68" w14:textId="77777777" w:rsidR="003B15CE" w:rsidRPr="000521D8" w:rsidRDefault="003B15CE" w:rsidP="003B15CE">
      <w:pPr>
        <w:autoSpaceDE w:val="0"/>
        <w:autoSpaceDN w:val="0"/>
        <w:adjustRightInd w:val="0"/>
        <w:spacing w:after="0" w:line="240" w:lineRule="auto"/>
        <w:jc w:val="center"/>
        <w:rPr>
          <w:rFonts w:asciiTheme="majorBidi" w:hAnsiTheme="majorBidi" w:cstheme="majorBidi"/>
          <w:kern w:val="0"/>
        </w:rPr>
      </w:pPr>
    </w:p>
    <w:p w14:paraId="2937D36C" w14:textId="77777777" w:rsidR="003B15CE" w:rsidRDefault="003B15CE" w:rsidP="003B15CE">
      <w:pPr>
        <w:autoSpaceDE w:val="0"/>
        <w:autoSpaceDN w:val="0"/>
        <w:adjustRightInd w:val="0"/>
        <w:spacing w:after="0" w:line="240" w:lineRule="auto"/>
        <w:jc w:val="center"/>
        <w:rPr>
          <w:rFonts w:asciiTheme="majorBidi" w:hAnsiTheme="majorBidi" w:cstheme="majorBidi"/>
          <w:kern w:val="0"/>
          <w:rtl/>
        </w:rPr>
      </w:pPr>
    </w:p>
    <w:p w14:paraId="5DB68F54" w14:textId="77777777" w:rsidR="003B15CE" w:rsidRPr="000521D8" w:rsidRDefault="003B15CE" w:rsidP="003B15CE">
      <w:pPr>
        <w:autoSpaceDE w:val="0"/>
        <w:autoSpaceDN w:val="0"/>
        <w:adjustRightInd w:val="0"/>
        <w:spacing w:after="0" w:line="240" w:lineRule="auto"/>
        <w:jc w:val="center"/>
        <w:rPr>
          <w:rFonts w:asciiTheme="majorBidi" w:hAnsiTheme="majorBidi" w:cstheme="majorBidi"/>
          <w:kern w:val="0"/>
        </w:rPr>
      </w:pPr>
    </w:p>
    <w:p w14:paraId="3FA57317" w14:textId="77777777" w:rsidR="003B15CE" w:rsidRPr="00453B1F" w:rsidRDefault="003B15CE" w:rsidP="003B15CE">
      <w:pPr>
        <w:autoSpaceDE w:val="0"/>
        <w:autoSpaceDN w:val="0"/>
        <w:adjustRightInd w:val="0"/>
        <w:spacing w:after="0" w:line="240" w:lineRule="auto"/>
        <w:jc w:val="center"/>
        <w:rPr>
          <w:rFonts w:asciiTheme="majorBidi" w:hAnsiTheme="majorBidi" w:cstheme="majorBidi"/>
          <w:b/>
          <w:bCs/>
          <w:kern w:val="0"/>
        </w:rPr>
      </w:pPr>
      <w:r w:rsidRPr="00453B1F">
        <w:rPr>
          <w:rFonts w:asciiTheme="majorBidi" w:hAnsiTheme="majorBidi" w:cstheme="majorBidi"/>
          <w:b/>
          <w:bCs/>
          <w:kern w:val="0"/>
        </w:rPr>
        <w:t>Atta G. Attaelmanan</w:t>
      </w:r>
      <w:r w:rsidRPr="00453B1F">
        <w:rPr>
          <w:rFonts w:asciiTheme="majorBidi" w:hAnsiTheme="majorBidi" w:cstheme="majorBidi"/>
          <w:b/>
          <w:bCs/>
          <w:color w:val="4472C4" w:themeColor="accent1"/>
          <w:kern w:val="0"/>
          <w:vertAlign w:val="superscript"/>
        </w:rPr>
        <w:t>a⁎</w:t>
      </w:r>
      <w:r w:rsidRPr="00453B1F">
        <w:rPr>
          <w:rFonts w:asciiTheme="majorBidi" w:hAnsiTheme="majorBidi" w:cstheme="majorBidi"/>
          <w:b/>
          <w:bCs/>
          <w:kern w:val="0"/>
        </w:rPr>
        <w:t>, Eissa Yousif</w:t>
      </w:r>
      <w:r w:rsidRPr="00453B1F">
        <w:rPr>
          <w:rFonts w:asciiTheme="majorBidi" w:hAnsiTheme="majorBidi" w:cstheme="majorBidi"/>
          <w:b/>
          <w:bCs/>
          <w:color w:val="4472C4" w:themeColor="accent1"/>
          <w:kern w:val="0"/>
          <w:vertAlign w:val="superscript"/>
        </w:rPr>
        <w:t>b</w:t>
      </w:r>
      <w:r w:rsidRPr="00453B1F">
        <w:rPr>
          <w:rFonts w:asciiTheme="majorBidi" w:hAnsiTheme="majorBidi" w:cstheme="majorBidi"/>
          <w:b/>
          <w:bCs/>
          <w:kern w:val="0"/>
        </w:rPr>
        <w:t>, Sabah Jasim</w:t>
      </w:r>
      <w:r w:rsidRPr="00453B1F">
        <w:rPr>
          <w:rFonts w:asciiTheme="majorBidi" w:hAnsiTheme="majorBidi" w:cstheme="majorBidi"/>
          <w:b/>
          <w:bCs/>
          <w:color w:val="4472C4" w:themeColor="accent1"/>
          <w:kern w:val="0"/>
          <w:vertAlign w:val="superscript"/>
        </w:rPr>
        <w:t>b</w:t>
      </w:r>
    </w:p>
    <w:p w14:paraId="493D1092" w14:textId="77777777" w:rsidR="003B15CE" w:rsidRPr="000521D8" w:rsidRDefault="003B15CE" w:rsidP="003B15CE">
      <w:pPr>
        <w:autoSpaceDE w:val="0"/>
        <w:autoSpaceDN w:val="0"/>
        <w:adjustRightInd w:val="0"/>
        <w:spacing w:after="0" w:line="240" w:lineRule="auto"/>
        <w:jc w:val="center"/>
        <w:rPr>
          <w:rFonts w:asciiTheme="majorBidi" w:hAnsiTheme="majorBidi" w:cstheme="majorBidi"/>
          <w:kern w:val="0"/>
        </w:rPr>
      </w:pPr>
      <w:r w:rsidRPr="000521D8">
        <w:rPr>
          <w:rFonts w:asciiTheme="majorBidi" w:hAnsiTheme="majorBidi" w:cstheme="majorBidi"/>
          <w:kern w:val="0"/>
          <w:vertAlign w:val="superscript"/>
        </w:rPr>
        <w:t>a</w:t>
      </w:r>
      <w:r w:rsidRPr="000521D8">
        <w:rPr>
          <w:rFonts w:asciiTheme="majorBidi" w:hAnsiTheme="majorBidi" w:cstheme="majorBidi"/>
          <w:kern w:val="0"/>
        </w:rPr>
        <w:t xml:space="preserve"> Department of Applied Physics and Astronomy, University of Sharjah, United Arab Emirates</w:t>
      </w:r>
    </w:p>
    <w:p w14:paraId="46B19B5D" w14:textId="77777777" w:rsidR="003B15CE" w:rsidRPr="000521D8" w:rsidRDefault="003B15CE" w:rsidP="003B15CE">
      <w:pPr>
        <w:jc w:val="center"/>
        <w:rPr>
          <w:rFonts w:asciiTheme="majorBidi" w:hAnsiTheme="majorBidi" w:cstheme="majorBidi"/>
          <w:kern w:val="0"/>
        </w:rPr>
      </w:pPr>
      <w:r w:rsidRPr="000521D8">
        <w:rPr>
          <w:rFonts w:asciiTheme="majorBidi" w:hAnsiTheme="majorBidi" w:cstheme="majorBidi"/>
          <w:kern w:val="0"/>
          <w:vertAlign w:val="superscript"/>
        </w:rPr>
        <w:t>b</w:t>
      </w:r>
      <w:r w:rsidRPr="000521D8">
        <w:rPr>
          <w:rFonts w:asciiTheme="majorBidi" w:hAnsiTheme="majorBidi" w:cstheme="majorBidi"/>
          <w:kern w:val="0"/>
        </w:rPr>
        <w:t xml:space="preserve"> Sharjah Archaeology Authority, Sharjah, United Arab Emirates</w:t>
      </w:r>
    </w:p>
    <w:p w14:paraId="26A20EF6" w14:textId="77777777" w:rsidR="003B15CE" w:rsidRDefault="003B15CE" w:rsidP="003B15CE">
      <w:pPr>
        <w:rPr>
          <w:rFonts w:asciiTheme="majorBidi" w:hAnsiTheme="majorBidi" w:cstheme="majorBidi"/>
          <w:kern w:val="0"/>
          <w:rtl/>
        </w:rPr>
      </w:pPr>
    </w:p>
    <w:p w14:paraId="3224B47B" w14:textId="77777777" w:rsidR="003B15CE" w:rsidRPr="000521D8" w:rsidRDefault="003B15CE" w:rsidP="003B15CE">
      <w:pPr>
        <w:rPr>
          <w:rFonts w:asciiTheme="majorBidi" w:hAnsiTheme="majorBidi" w:cstheme="majorBidi"/>
          <w:kern w:val="0"/>
        </w:rPr>
      </w:pPr>
    </w:p>
    <w:p w14:paraId="452CA69A" w14:textId="77777777" w:rsidR="003B15CE" w:rsidRPr="003B3A0F" w:rsidRDefault="003B15CE" w:rsidP="003B15CE">
      <w:pPr>
        <w:rPr>
          <w:rFonts w:asciiTheme="majorBidi" w:hAnsiTheme="majorBidi" w:cstheme="majorBidi"/>
          <w:b/>
          <w:bCs/>
          <w:sz w:val="26"/>
          <w:szCs w:val="26"/>
        </w:rPr>
      </w:pPr>
      <w:r w:rsidRPr="003B3A0F">
        <w:rPr>
          <w:rFonts w:asciiTheme="majorBidi" w:hAnsiTheme="majorBidi" w:cstheme="majorBidi"/>
          <w:b/>
          <w:bCs/>
          <w:sz w:val="26"/>
          <w:szCs w:val="26"/>
        </w:rPr>
        <w:t>A B S T R A C T</w:t>
      </w:r>
    </w:p>
    <w:p w14:paraId="5D004C91" w14:textId="77777777" w:rsidR="003B15CE" w:rsidRPr="000521D8" w:rsidRDefault="003B15CE" w:rsidP="003B15CE">
      <w:pPr>
        <w:jc w:val="both"/>
        <w:rPr>
          <w:rFonts w:asciiTheme="majorBidi" w:hAnsiTheme="majorBidi" w:cstheme="majorBidi"/>
        </w:rPr>
      </w:pPr>
      <w:r w:rsidRPr="000521D8">
        <w:rPr>
          <w:rFonts w:asciiTheme="majorBidi" w:hAnsiTheme="majorBidi" w:cstheme="majorBidi"/>
        </w:rPr>
        <w:t>Glass ingots found in an archaeological site discovered at the town of Dibba, United Arab Emirates, were analyzed using X-ray Fluorescence Spectroscopy to establish their elemental composition, and their association to glassware fragments found in the same site.</w:t>
      </w:r>
    </w:p>
    <w:p w14:paraId="6F8642B8" w14:textId="0A33B2C6" w:rsidR="003B15CE" w:rsidRPr="000521D8" w:rsidRDefault="003B15CE" w:rsidP="003B15CE">
      <w:pPr>
        <w:jc w:val="both"/>
        <w:rPr>
          <w:rFonts w:asciiTheme="majorBidi" w:hAnsiTheme="majorBidi" w:cstheme="majorBidi"/>
        </w:rPr>
      </w:pPr>
      <w:r w:rsidRPr="000521D8">
        <w:rPr>
          <w:rFonts w:asciiTheme="majorBidi" w:hAnsiTheme="majorBidi" w:cstheme="majorBidi"/>
        </w:rPr>
        <w:t xml:space="preserve">Quantitative XRF analysis of the samples revealed that the glass under </w:t>
      </w:r>
      <w:r w:rsidR="00FC1488" w:rsidRPr="000521D8">
        <w:rPr>
          <w:rFonts w:asciiTheme="majorBidi" w:hAnsiTheme="majorBidi" w:cstheme="majorBidi"/>
        </w:rPr>
        <w:t>investigation</w:t>
      </w:r>
      <w:r w:rsidRPr="000521D8">
        <w:rPr>
          <w:rFonts w:asciiTheme="majorBidi" w:hAnsiTheme="majorBidi" w:cstheme="majorBidi"/>
        </w:rPr>
        <w:t xml:space="preserve"> is based on plant ash soda-lime glass, with soda predominant over potash, lime, and magnesia indicating the use of a plant ash source for the alkali. The results also showed that all the samples have similar elemental composition, with little variations in concentrations.</w:t>
      </w:r>
    </w:p>
    <w:p w14:paraId="0CBA8A34" w14:textId="77777777" w:rsidR="003B15CE" w:rsidRPr="000521D8" w:rsidRDefault="003B15CE" w:rsidP="003B15CE">
      <w:pPr>
        <w:jc w:val="both"/>
        <w:rPr>
          <w:rFonts w:asciiTheme="majorBidi" w:hAnsiTheme="majorBidi" w:cstheme="majorBidi"/>
        </w:rPr>
      </w:pPr>
      <w:r w:rsidRPr="000521D8">
        <w:rPr>
          <w:rFonts w:asciiTheme="majorBidi" w:hAnsiTheme="majorBidi" w:cstheme="majorBidi"/>
        </w:rPr>
        <w:t>Our findings prove that the glassware and ingots found in the site have the same elemental compositions. The sheer volume of glass ingots discovered in the site, coupled with the presence of glassware fragments, indicate the existence of a glass workshop in Dibba archaeological site during the period between the late first century BCE and the end of the first century AD.</w:t>
      </w:r>
    </w:p>
    <w:p w14:paraId="6B549C05" w14:textId="77777777" w:rsidR="003B15CE" w:rsidRDefault="003B15CE" w:rsidP="003B15CE">
      <w:pPr>
        <w:jc w:val="both"/>
        <w:rPr>
          <w:rFonts w:asciiTheme="majorBidi" w:hAnsiTheme="majorBidi" w:cstheme="majorBidi"/>
          <w:rtl/>
        </w:rPr>
      </w:pPr>
    </w:p>
    <w:p w14:paraId="27F24F53" w14:textId="77777777" w:rsidR="003B15CE" w:rsidRPr="003B3A0F" w:rsidRDefault="003B15CE" w:rsidP="003B15CE">
      <w:pPr>
        <w:jc w:val="both"/>
        <w:rPr>
          <w:rFonts w:asciiTheme="majorBidi" w:hAnsiTheme="majorBidi" w:cstheme="majorBidi"/>
          <w:b/>
          <w:bCs/>
          <w:sz w:val="26"/>
          <w:szCs w:val="26"/>
        </w:rPr>
      </w:pPr>
      <w:r w:rsidRPr="003B3A0F">
        <w:rPr>
          <w:rFonts w:asciiTheme="majorBidi" w:hAnsiTheme="majorBidi" w:cstheme="majorBidi"/>
          <w:b/>
          <w:bCs/>
          <w:sz w:val="26"/>
          <w:szCs w:val="26"/>
        </w:rPr>
        <w:t>Keywords:</w:t>
      </w:r>
    </w:p>
    <w:p w14:paraId="15D9DF06" w14:textId="77777777" w:rsidR="003B15CE" w:rsidRPr="000521D8" w:rsidRDefault="003B15CE" w:rsidP="003B15CE">
      <w:pPr>
        <w:jc w:val="both"/>
        <w:rPr>
          <w:rFonts w:asciiTheme="majorBidi" w:hAnsiTheme="majorBidi" w:cstheme="majorBidi"/>
        </w:rPr>
      </w:pPr>
      <w:r w:rsidRPr="000521D8">
        <w:rPr>
          <w:rFonts w:asciiTheme="majorBidi" w:hAnsiTheme="majorBidi" w:cstheme="majorBidi"/>
        </w:rPr>
        <w:t>Dibba</w:t>
      </w:r>
      <w:r>
        <w:rPr>
          <w:rFonts w:asciiTheme="majorBidi" w:hAnsiTheme="majorBidi" w:cstheme="majorBidi"/>
        </w:rPr>
        <w:t xml:space="preserve">, </w:t>
      </w:r>
      <w:r w:rsidRPr="000521D8">
        <w:rPr>
          <w:rFonts w:asciiTheme="majorBidi" w:hAnsiTheme="majorBidi" w:cstheme="majorBidi"/>
        </w:rPr>
        <w:t>Glass</w:t>
      </w:r>
      <w:r>
        <w:rPr>
          <w:rFonts w:asciiTheme="majorBidi" w:hAnsiTheme="majorBidi" w:cstheme="majorBidi"/>
        </w:rPr>
        <w:t xml:space="preserve">, </w:t>
      </w:r>
      <w:r w:rsidRPr="000521D8">
        <w:rPr>
          <w:rFonts w:asciiTheme="majorBidi" w:hAnsiTheme="majorBidi" w:cstheme="majorBidi"/>
        </w:rPr>
        <w:t>Ingot</w:t>
      </w:r>
      <w:r>
        <w:rPr>
          <w:rFonts w:asciiTheme="majorBidi" w:hAnsiTheme="majorBidi" w:cstheme="majorBidi"/>
        </w:rPr>
        <w:t xml:space="preserve">, </w:t>
      </w:r>
      <w:r w:rsidRPr="000521D8">
        <w:rPr>
          <w:rFonts w:asciiTheme="majorBidi" w:hAnsiTheme="majorBidi" w:cstheme="majorBidi"/>
        </w:rPr>
        <w:t>XR</w:t>
      </w:r>
    </w:p>
    <w:p w14:paraId="3E30474F" w14:textId="77777777" w:rsidR="006860A7" w:rsidRPr="00F1068D" w:rsidRDefault="006860A7" w:rsidP="006860A7">
      <w:pPr>
        <w:rPr>
          <w:rFonts w:asciiTheme="majorBidi" w:hAnsiTheme="majorBidi" w:cstheme="majorBidi"/>
          <w:color w:val="000000"/>
          <w:rtl/>
        </w:rPr>
      </w:pPr>
    </w:p>
    <w:p w14:paraId="5D2C6416" w14:textId="77777777" w:rsidR="006860A7" w:rsidRPr="00F1068D" w:rsidRDefault="006860A7" w:rsidP="006860A7">
      <w:pPr>
        <w:rPr>
          <w:rFonts w:asciiTheme="majorBidi" w:hAnsiTheme="majorBidi" w:cstheme="majorBidi"/>
          <w:color w:val="000000"/>
          <w:rtl/>
        </w:rPr>
      </w:pPr>
    </w:p>
    <w:p w14:paraId="0B08774A" w14:textId="77777777" w:rsidR="006860A7" w:rsidRPr="00F1068D" w:rsidRDefault="006860A7" w:rsidP="006860A7">
      <w:pPr>
        <w:rPr>
          <w:rFonts w:asciiTheme="majorBidi" w:hAnsiTheme="majorBidi" w:cstheme="majorBidi"/>
          <w:color w:val="000000"/>
          <w:rtl/>
        </w:rPr>
      </w:pPr>
    </w:p>
    <w:p w14:paraId="5ED4F672" w14:textId="77777777" w:rsidR="006860A7" w:rsidRPr="00F1068D" w:rsidRDefault="006860A7" w:rsidP="006860A7">
      <w:pPr>
        <w:rPr>
          <w:rFonts w:asciiTheme="majorBidi" w:hAnsiTheme="majorBidi" w:cstheme="majorBidi"/>
        </w:rPr>
      </w:pPr>
    </w:p>
    <w:p w14:paraId="2AFF65D5" w14:textId="77777777" w:rsidR="006860A7" w:rsidRPr="00F1068D" w:rsidRDefault="006860A7" w:rsidP="006860A7">
      <w:pPr>
        <w:suppressAutoHyphens/>
        <w:autoSpaceDE w:val="0"/>
        <w:autoSpaceDN w:val="0"/>
        <w:adjustRightInd w:val="0"/>
        <w:spacing w:before="170" w:after="0" w:line="400" w:lineRule="atLeast"/>
        <w:jc w:val="center"/>
        <w:textAlignment w:val="center"/>
        <w:rPr>
          <w:rFonts w:asciiTheme="majorBidi" w:hAnsiTheme="majorBidi" w:cstheme="majorBidi"/>
          <w:b/>
          <w:bCs/>
          <w:color w:val="000000"/>
          <w:sz w:val="30"/>
          <w:szCs w:val="30"/>
          <w:rtl/>
        </w:rPr>
      </w:pPr>
    </w:p>
    <w:p w14:paraId="16A1FB77" w14:textId="5EB9E200" w:rsidR="006860A7" w:rsidRPr="00F1068D" w:rsidRDefault="006860A7" w:rsidP="006860A7">
      <w:pPr>
        <w:rPr>
          <w:rFonts w:asciiTheme="majorBidi" w:hAnsiTheme="majorBidi" w:cstheme="majorBidi"/>
          <w:rtl/>
        </w:rPr>
      </w:pPr>
    </w:p>
    <w:p w14:paraId="4660681C" w14:textId="77777777" w:rsidR="006860A7" w:rsidRPr="00F1068D" w:rsidRDefault="006860A7" w:rsidP="006860A7">
      <w:pPr>
        <w:rPr>
          <w:rFonts w:asciiTheme="majorBidi" w:hAnsiTheme="majorBidi" w:cstheme="majorBidi"/>
        </w:rPr>
      </w:pPr>
    </w:p>
    <w:p w14:paraId="5F38CEA2" w14:textId="77777777" w:rsidR="006860A7" w:rsidRPr="00F1068D" w:rsidRDefault="006860A7" w:rsidP="006860A7">
      <w:pPr>
        <w:rPr>
          <w:rFonts w:asciiTheme="majorBidi" w:hAnsiTheme="majorBidi" w:cstheme="majorBidi"/>
          <w:b/>
          <w:bCs/>
        </w:rPr>
      </w:pPr>
      <w:r w:rsidRPr="00F1068D">
        <w:rPr>
          <w:rFonts w:asciiTheme="majorBidi" w:hAnsiTheme="majorBidi" w:cstheme="majorBidi"/>
          <w:b/>
          <w:bCs/>
        </w:rPr>
        <w:t>Author Guidelines</w:t>
      </w:r>
    </w:p>
    <w:p w14:paraId="215C04DB" w14:textId="10589F62" w:rsidR="006860A7" w:rsidRPr="00F1068D" w:rsidRDefault="006860A7" w:rsidP="00F1068D">
      <w:pPr>
        <w:pStyle w:val="NormalWeb"/>
        <w:numPr>
          <w:ilvl w:val="0"/>
          <w:numId w:val="1"/>
        </w:numPr>
        <w:shd w:val="clear" w:color="auto" w:fill="FFFFFF"/>
        <w:bidi w:val="0"/>
        <w:spacing w:after="0"/>
        <w:rPr>
          <w:rFonts w:asciiTheme="majorBidi" w:hAnsiTheme="majorBidi" w:cstheme="majorBidi"/>
          <w:sz w:val="21"/>
          <w:szCs w:val="21"/>
        </w:rPr>
      </w:pPr>
      <w:r w:rsidRPr="00F1068D">
        <w:rPr>
          <w:rFonts w:asciiTheme="majorBidi" w:hAnsiTheme="majorBidi" w:cstheme="majorBidi"/>
          <w:sz w:val="21"/>
          <w:szCs w:val="21"/>
        </w:rPr>
        <w:t xml:space="preserve">Authors should conform to the submission guidelines specified by </w:t>
      </w:r>
      <w:r w:rsidR="00F1068D" w:rsidRPr="00F1068D">
        <w:rPr>
          <w:rFonts w:asciiTheme="majorBidi" w:hAnsiTheme="majorBidi" w:cstheme="majorBidi"/>
          <w:sz w:val="21"/>
          <w:szCs w:val="21"/>
        </w:rPr>
        <w:t>Sharjah Journal of Archaeological Studies</w:t>
      </w:r>
      <w:r w:rsidR="00F1068D" w:rsidRPr="00F1068D">
        <w:rPr>
          <w:rFonts w:asciiTheme="majorBidi" w:hAnsiTheme="majorBidi" w:cstheme="majorBidi" w:hint="cs"/>
          <w:sz w:val="21"/>
          <w:szCs w:val="21"/>
          <w:rtl/>
        </w:rPr>
        <w:t xml:space="preserve"> </w:t>
      </w:r>
      <w:r w:rsidRPr="00F1068D">
        <w:rPr>
          <w:rFonts w:asciiTheme="majorBidi" w:hAnsiTheme="majorBidi" w:cstheme="majorBidi"/>
          <w:sz w:val="21"/>
          <w:szCs w:val="21"/>
        </w:rPr>
        <w:t>and should be highly committed to responsible research conduct and ethical publication standards.</w:t>
      </w:r>
    </w:p>
    <w:p w14:paraId="6232FD87" w14:textId="36373EB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 xml:space="preserve">Authors are required to ensure that they meet the authorship criteria adopted by </w:t>
      </w:r>
      <w:r w:rsidR="00F1068D" w:rsidRPr="00F1068D">
        <w:rPr>
          <w:rFonts w:asciiTheme="majorBidi" w:hAnsiTheme="majorBidi" w:cstheme="majorBidi"/>
          <w:sz w:val="21"/>
          <w:szCs w:val="21"/>
          <w:lang w:val="en-GB"/>
        </w:rPr>
        <w:t>Sharjah Journal of Archaeological Studies</w:t>
      </w:r>
      <w:r w:rsidR="00F1068D" w:rsidRPr="00F1068D">
        <w:rPr>
          <w:rFonts w:asciiTheme="majorBidi" w:hAnsiTheme="majorBidi" w:cstheme="majorBidi" w:hint="cs"/>
          <w:sz w:val="21"/>
          <w:szCs w:val="21"/>
          <w:rtl/>
          <w:lang w:val="en-GB"/>
        </w:rPr>
        <w:t xml:space="preserve"> </w:t>
      </w:r>
      <w:r w:rsidRPr="00F1068D">
        <w:rPr>
          <w:rFonts w:asciiTheme="majorBidi" w:hAnsiTheme="majorBidi" w:cstheme="majorBidi"/>
        </w:rPr>
        <w:t>prior to manuscript submission.</w:t>
      </w:r>
    </w:p>
    <w:p w14:paraId="5935182E"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Authors of original research must provide an accurate and scholarly presentation of the study, accompanied by a clear explanation of its academic significance and contribution to the field of archaeological studies.</w:t>
      </w:r>
    </w:p>
    <w:p w14:paraId="64ED8B61"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The submitted manuscript should include sufficient data and reliable references to enable other researchers to cite and build upon the work.</w:t>
      </w:r>
    </w:p>
    <w:p w14:paraId="0808ECF2"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Authors must avoid all forms of unethical research and publication practices, including plagiarism, fabrication, and falsification.</w:t>
      </w:r>
    </w:p>
    <w:p w14:paraId="5976B82F" w14:textId="0CC0546F"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 xml:space="preserve">The Editorial Board of </w:t>
      </w:r>
      <w:r w:rsidR="00F1068D" w:rsidRPr="00F1068D">
        <w:rPr>
          <w:rFonts w:asciiTheme="majorBidi" w:hAnsiTheme="majorBidi" w:cstheme="majorBidi"/>
          <w:sz w:val="21"/>
          <w:szCs w:val="21"/>
          <w:lang w:val="en-GB"/>
        </w:rPr>
        <w:t>Sharjah Journal of Archaeological Studies</w:t>
      </w:r>
      <w:r w:rsidR="00F1068D" w:rsidRPr="00F1068D">
        <w:rPr>
          <w:rFonts w:asciiTheme="majorBidi" w:hAnsiTheme="majorBidi" w:cstheme="majorBidi" w:hint="cs"/>
          <w:sz w:val="21"/>
          <w:szCs w:val="21"/>
          <w:rtl/>
          <w:lang w:val="en-GB"/>
        </w:rPr>
        <w:t xml:space="preserve"> </w:t>
      </w:r>
      <w:r w:rsidRPr="00F1068D">
        <w:rPr>
          <w:rFonts w:asciiTheme="majorBidi" w:hAnsiTheme="majorBidi" w:cstheme="majorBidi"/>
        </w:rPr>
        <w:t>reserves the right to request original data or supporting materials for editorial review and peer evaluation. Authors should be prepared to make such materials available upon request.</w:t>
      </w:r>
    </w:p>
    <w:p w14:paraId="3A84CCB9"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Submitted works must be original and unpublished, with proper and accurate citation of all sources and scholarly works that contributed to shaping the submitted manuscript.</w:t>
      </w:r>
    </w:p>
    <w:p w14:paraId="13AEB365"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The corresponding author is responsible for confirming that written consent has been obtained from all co-authors who have made a substantial contribution to the research.</w:t>
      </w:r>
    </w:p>
    <w:p w14:paraId="3024E988"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Submitting the same manuscript simultaneously to more than one academic journal constitutes unethical publishing behavior.</w:t>
      </w:r>
    </w:p>
    <w:p w14:paraId="131FD6F5"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The author(s) retain intellectual ownership of the submitted manuscript until its acceptance for publication.</w:t>
      </w:r>
    </w:p>
    <w:p w14:paraId="47863298" w14:textId="7CC22748"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 xml:space="preserve">Upon acceptance, authors are required to transfer copyright to the publisher. No part of the published work may be reproduced or republished without prior written permission from </w:t>
      </w:r>
      <w:r w:rsidR="00F1068D" w:rsidRPr="00F1068D">
        <w:rPr>
          <w:rFonts w:asciiTheme="majorBidi" w:hAnsiTheme="majorBidi" w:cstheme="majorBidi"/>
          <w:sz w:val="21"/>
          <w:szCs w:val="21"/>
          <w:lang w:val="en-GB"/>
        </w:rPr>
        <w:t>Sharjah Journal of Archaeological Studies</w:t>
      </w:r>
      <w:r w:rsidRPr="00F1068D">
        <w:rPr>
          <w:rFonts w:asciiTheme="majorBidi" w:hAnsiTheme="majorBidi" w:cstheme="majorBidi"/>
        </w:rPr>
        <w:t>.</w:t>
      </w:r>
    </w:p>
    <w:p w14:paraId="024FD6E7" w14:textId="77777777" w:rsidR="006860A7" w:rsidRPr="00F1068D" w:rsidRDefault="006860A7" w:rsidP="006860A7">
      <w:pPr>
        <w:numPr>
          <w:ilvl w:val="0"/>
          <w:numId w:val="1"/>
        </w:numPr>
        <w:rPr>
          <w:rFonts w:asciiTheme="majorBidi" w:hAnsiTheme="majorBidi" w:cstheme="majorBidi"/>
        </w:rPr>
      </w:pPr>
      <w:r w:rsidRPr="00F1068D">
        <w:rPr>
          <w:rFonts w:asciiTheme="majorBidi" w:hAnsiTheme="majorBidi" w:cstheme="majorBidi"/>
        </w:rPr>
        <w:t>Authors must disclose all sources of funding and declare any potential financial or non-financial conflicts of interest that may influence the evaluation of the manuscript.</w:t>
      </w:r>
    </w:p>
    <w:p w14:paraId="729237A4" w14:textId="77777777" w:rsidR="006860A7" w:rsidRPr="00F1068D" w:rsidRDefault="006860A7" w:rsidP="006860A7">
      <w:pPr>
        <w:pStyle w:val="NormalWeb"/>
        <w:numPr>
          <w:ilvl w:val="0"/>
          <w:numId w:val="1"/>
        </w:numPr>
        <w:shd w:val="clear" w:color="auto" w:fill="FFFFFF"/>
        <w:bidi w:val="0"/>
        <w:spacing w:after="0"/>
        <w:rPr>
          <w:rFonts w:asciiTheme="majorBidi" w:hAnsiTheme="majorBidi" w:cstheme="majorBidi"/>
          <w:sz w:val="21"/>
          <w:szCs w:val="21"/>
        </w:rPr>
      </w:pPr>
      <w:r w:rsidRPr="00F1068D">
        <w:rPr>
          <w:rFonts w:asciiTheme="majorBidi" w:hAnsiTheme="majorBidi" w:cstheme="majorBidi"/>
          <w:sz w:val="21"/>
          <w:szCs w:val="21"/>
        </w:rPr>
        <w:t>If an author discovers a serious error in his/her published work, it is his/her responsibility to notify the editor or publisher so as to withdraw or correct the error.</w:t>
      </w:r>
    </w:p>
    <w:p w14:paraId="6E6D7048" w14:textId="77777777" w:rsidR="006860A7" w:rsidRPr="00F1068D" w:rsidRDefault="006860A7" w:rsidP="006860A7">
      <w:pPr>
        <w:pStyle w:val="Heading2"/>
        <w:shd w:val="clear" w:color="auto" w:fill="FFFFFF"/>
        <w:spacing w:before="0" w:after="0"/>
        <w:rPr>
          <w:rFonts w:asciiTheme="majorBidi" w:hAnsiTheme="majorBidi"/>
        </w:rPr>
      </w:pPr>
      <w:r w:rsidRPr="00F1068D">
        <w:rPr>
          <w:rFonts w:asciiTheme="majorBidi" w:hAnsiTheme="majorBidi"/>
        </w:rPr>
        <w:t> </w:t>
      </w:r>
    </w:p>
    <w:p w14:paraId="6A0B6960" w14:textId="31D925F7" w:rsidR="006860A7" w:rsidRPr="00F1068D" w:rsidRDefault="006860A7" w:rsidP="006860A7">
      <w:pPr>
        <w:rPr>
          <w:rFonts w:asciiTheme="majorBidi" w:hAnsiTheme="majorBidi" w:cstheme="majorBidi"/>
        </w:rPr>
      </w:pPr>
    </w:p>
    <w:p w14:paraId="1F8D7158" w14:textId="77777777" w:rsidR="006860A7" w:rsidRPr="00F1068D" w:rsidRDefault="006860A7" w:rsidP="006860A7">
      <w:pPr>
        <w:pStyle w:val="Heading2"/>
        <w:shd w:val="clear" w:color="auto" w:fill="FFFFFF"/>
        <w:spacing w:before="0" w:after="0"/>
        <w:rPr>
          <w:rFonts w:asciiTheme="majorBidi" w:hAnsiTheme="majorBidi"/>
        </w:rPr>
      </w:pPr>
      <w:r w:rsidRPr="00F1068D">
        <w:rPr>
          <w:rStyle w:val="Strong"/>
          <w:rFonts w:asciiTheme="majorBidi" w:hAnsiTheme="majorBidi"/>
          <w:bCs w:val="0"/>
          <w:sz w:val="28"/>
          <w:szCs w:val="28"/>
        </w:rPr>
        <w:lastRenderedPageBreak/>
        <w:t>Submission Guidelines</w:t>
      </w:r>
    </w:p>
    <w:p w14:paraId="0A43838C" w14:textId="3503C066" w:rsidR="006860A7" w:rsidRPr="00F1068D" w:rsidRDefault="006860A7" w:rsidP="00F1068D">
      <w:pPr>
        <w:rPr>
          <w:rFonts w:asciiTheme="majorBidi" w:hAnsiTheme="majorBidi" w:cstheme="majorBidi"/>
        </w:rPr>
      </w:pPr>
      <w:r w:rsidRPr="00F1068D">
        <w:rPr>
          <w:rFonts w:asciiTheme="majorBidi" w:hAnsiTheme="majorBidi" w:cstheme="majorBidi"/>
        </w:rPr>
        <w:t xml:space="preserve">These guidelines define the scientific, organizational, and formatting requirements for submitting research papers to </w:t>
      </w:r>
      <w:r w:rsidR="00F1068D" w:rsidRPr="00F1068D">
        <w:rPr>
          <w:rFonts w:asciiTheme="majorBidi" w:hAnsiTheme="majorBidi" w:cstheme="majorBidi"/>
        </w:rPr>
        <w:t>Sharjah Journal of Archaeological Studies</w:t>
      </w:r>
      <w:r w:rsidRPr="00F1068D">
        <w:rPr>
          <w:rFonts w:asciiTheme="majorBidi" w:hAnsiTheme="majorBidi" w:cstheme="majorBidi"/>
        </w:rPr>
        <w:t>, as follows:</w:t>
      </w:r>
    </w:p>
    <w:p w14:paraId="5B1A3D8B" w14:textId="77777777" w:rsidR="006860A7" w:rsidRPr="00F1068D" w:rsidRDefault="006860A7" w:rsidP="006860A7">
      <w:pPr>
        <w:numPr>
          <w:ilvl w:val="0"/>
          <w:numId w:val="2"/>
        </w:numPr>
        <w:rPr>
          <w:rFonts w:asciiTheme="majorBidi" w:hAnsiTheme="majorBidi" w:cstheme="majorBidi"/>
        </w:rPr>
      </w:pPr>
      <w:r w:rsidRPr="00F1068D">
        <w:rPr>
          <w:rFonts w:asciiTheme="majorBidi" w:hAnsiTheme="majorBidi" w:cstheme="majorBidi"/>
        </w:rPr>
        <w:t>The journal publishes research related to archaeology and its sub-disciplines, in full accordance with the journal’s scope, themes, and editorial guidelines.</w:t>
      </w:r>
    </w:p>
    <w:p w14:paraId="18B7D35E" w14:textId="640153C3" w:rsidR="006860A7" w:rsidRPr="00F1068D" w:rsidRDefault="006860A7" w:rsidP="006860A7">
      <w:pPr>
        <w:numPr>
          <w:ilvl w:val="0"/>
          <w:numId w:val="2"/>
        </w:numPr>
        <w:rPr>
          <w:rFonts w:asciiTheme="majorBidi" w:hAnsiTheme="majorBidi" w:cstheme="majorBidi"/>
        </w:rPr>
      </w:pPr>
      <w:r w:rsidRPr="00F1068D">
        <w:rPr>
          <w:rFonts w:asciiTheme="majorBidi" w:hAnsiTheme="majorBidi" w:cstheme="majorBidi"/>
          <w:sz w:val="21"/>
          <w:szCs w:val="21"/>
        </w:rPr>
        <w:t xml:space="preserve">Manuscripts should not </w:t>
      </w:r>
      <w:r w:rsidR="00FC1488" w:rsidRPr="00F1068D">
        <w:rPr>
          <w:rFonts w:asciiTheme="majorBidi" w:hAnsiTheme="majorBidi" w:cstheme="majorBidi"/>
        </w:rPr>
        <w:t>be fewer</w:t>
      </w:r>
      <w:r w:rsidRPr="00F1068D">
        <w:rPr>
          <w:rFonts w:asciiTheme="majorBidi" w:hAnsiTheme="majorBidi" w:cstheme="majorBidi"/>
        </w:rPr>
        <w:t xml:space="preserve"> than 4,000 words and </w:t>
      </w:r>
      <w:r w:rsidRPr="00F1068D">
        <w:rPr>
          <w:rFonts w:asciiTheme="majorBidi" w:hAnsiTheme="majorBidi" w:cstheme="majorBidi"/>
          <w:sz w:val="21"/>
          <w:szCs w:val="21"/>
        </w:rPr>
        <w:t xml:space="preserve">not exceed </w:t>
      </w:r>
      <w:r w:rsidR="00150BDE">
        <w:rPr>
          <w:rFonts w:asciiTheme="majorBidi" w:hAnsiTheme="majorBidi" w:cstheme="majorBidi"/>
        </w:rPr>
        <w:t>9</w:t>
      </w:r>
      <w:r w:rsidRPr="00F1068D">
        <w:rPr>
          <w:rFonts w:asciiTheme="majorBidi" w:hAnsiTheme="majorBidi" w:cstheme="majorBidi"/>
        </w:rPr>
        <w:t>,000 words.</w:t>
      </w:r>
    </w:p>
    <w:p w14:paraId="2BC54BF3" w14:textId="77777777" w:rsidR="00FA7B4C" w:rsidRPr="00F1068D" w:rsidRDefault="00FA7B4C" w:rsidP="006860A7">
      <w:pPr>
        <w:numPr>
          <w:ilvl w:val="0"/>
          <w:numId w:val="2"/>
        </w:numPr>
        <w:rPr>
          <w:rFonts w:asciiTheme="majorBidi" w:hAnsiTheme="majorBidi" w:cstheme="majorBidi"/>
        </w:rPr>
      </w:pPr>
      <w:r w:rsidRPr="00F1068D">
        <w:rPr>
          <w:rFonts w:asciiTheme="majorBidi" w:hAnsiTheme="majorBidi" w:cstheme="majorBidi"/>
          <w:sz w:val="21"/>
          <w:szCs w:val="21"/>
        </w:rPr>
        <w:t>Manuscripts must have the following sections: a one-page abstract in Arabic and English (about 200 words each); keywords; introduction; main body divided into the appropriate sections and sub-sections; conclusions; brief biographies of authors; and a list of references</w:t>
      </w:r>
    </w:p>
    <w:p w14:paraId="4F659159" w14:textId="3727D859" w:rsidR="006860A7" w:rsidRPr="00F1068D" w:rsidRDefault="00FA7B4C" w:rsidP="006860A7">
      <w:pPr>
        <w:numPr>
          <w:ilvl w:val="0"/>
          <w:numId w:val="2"/>
        </w:numPr>
        <w:rPr>
          <w:rFonts w:asciiTheme="majorBidi" w:hAnsiTheme="majorBidi" w:cstheme="majorBidi"/>
        </w:rPr>
      </w:pPr>
      <w:r w:rsidRPr="00F1068D">
        <w:rPr>
          <w:rFonts w:asciiTheme="majorBidi" w:hAnsiTheme="majorBidi" w:cstheme="majorBidi"/>
          <w:sz w:val="21"/>
          <w:szCs w:val="21"/>
        </w:rPr>
        <w:t>Authors' full names and current affiliations must be given immediately below the title of the article.</w:t>
      </w:r>
      <w:r w:rsidR="006860A7" w:rsidRPr="00F1068D">
        <w:rPr>
          <w:rFonts w:asciiTheme="majorBidi" w:hAnsiTheme="majorBidi" w:cstheme="majorBidi"/>
        </w:rPr>
        <w:t>.</w:t>
      </w:r>
    </w:p>
    <w:p w14:paraId="18624473" w14:textId="7B0FB259" w:rsidR="00FA7B4C" w:rsidRPr="00F1068D" w:rsidRDefault="00FA7B4C" w:rsidP="00FA7B4C">
      <w:pPr>
        <w:pStyle w:val="NormalWeb"/>
        <w:numPr>
          <w:ilvl w:val="0"/>
          <w:numId w:val="2"/>
        </w:numPr>
        <w:shd w:val="clear" w:color="auto" w:fill="FFFFFF"/>
        <w:bidi w:val="0"/>
        <w:spacing w:after="0"/>
        <w:rPr>
          <w:rFonts w:asciiTheme="majorBidi" w:hAnsiTheme="majorBidi" w:cstheme="majorBidi"/>
          <w:sz w:val="21"/>
          <w:szCs w:val="21"/>
        </w:rPr>
      </w:pPr>
      <w:r w:rsidRPr="00F1068D">
        <w:rPr>
          <w:rFonts w:asciiTheme="majorBidi" w:hAnsiTheme="majorBidi" w:cstheme="majorBidi"/>
          <w:sz w:val="21"/>
          <w:szCs w:val="21"/>
        </w:rPr>
        <w:t xml:space="preserve">Manuscripts should be typed, double spaced, in Times New Roman, 14 points font for the main text. Only one side of the sheet should be </w:t>
      </w:r>
      <w:r w:rsidR="00FC1488" w:rsidRPr="00F1068D">
        <w:rPr>
          <w:rFonts w:asciiTheme="majorBidi" w:hAnsiTheme="majorBidi" w:cstheme="majorBidi"/>
          <w:sz w:val="21"/>
          <w:szCs w:val="21"/>
        </w:rPr>
        <w:t>used,</w:t>
      </w:r>
      <w:r w:rsidRPr="00F1068D">
        <w:rPr>
          <w:rFonts w:asciiTheme="majorBidi" w:hAnsiTheme="majorBidi" w:cstheme="majorBidi"/>
          <w:sz w:val="21"/>
          <w:szCs w:val="21"/>
        </w:rPr>
        <w:t xml:space="preserve"> and line spacing should be double.</w:t>
      </w:r>
    </w:p>
    <w:p w14:paraId="59A7E577" w14:textId="77777777" w:rsidR="006860A7" w:rsidRPr="00F1068D" w:rsidRDefault="006860A7" w:rsidP="006860A7">
      <w:pPr>
        <w:numPr>
          <w:ilvl w:val="0"/>
          <w:numId w:val="2"/>
        </w:numPr>
        <w:rPr>
          <w:rFonts w:asciiTheme="majorBidi" w:hAnsiTheme="majorBidi" w:cstheme="majorBidi"/>
        </w:rPr>
      </w:pPr>
      <w:r w:rsidRPr="00F1068D">
        <w:rPr>
          <w:rFonts w:asciiTheme="majorBidi" w:hAnsiTheme="majorBidi" w:cstheme="majorBidi"/>
        </w:rPr>
        <w:t>In accordance with the journal’s editorial policy, manuscripts should preferably be structured as follows:</w:t>
      </w:r>
    </w:p>
    <w:p w14:paraId="191AE145" w14:textId="77777777" w:rsidR="006860A7" w:rsidRPr="00F1068D" w:rsidRDefault="006860A7" w:rsidP="006860A7">
      <w:pPr>
        <w:numPr>
          <w:ilvl w:val="1"/>
          <w:numId w:val="2"/>
        </w:numPr>
        <w:rPr>
          <w:rFonts w:asciiTheme="majorBidi" w:hAnsiTheme="majorBidi" w:cstheme="majorBidi"/>
        </w:rPr>
      </w:pPr>
      <w:r w:rsidRPr="00F1068D">
        <w:rPr>
          <w:rFonts w:asciiTheme="majorBidi" w:hAnsiTheme="majorBidi" w:cstheme="majorBidi"/>
          <w:b/>
          <w:bCs/>
        </w:rPr>
        <w:t>Introduction:</w:t>
      </w:r>
      <w:r w:rsidRPr="00F1068D">
        <w:rPr>
          <w:rFonts w:asciiTheme="majorBidi" w:hAnsiTheme="majorBidi" w:cstheme="majorBidi"/>
        </w:rPr>
        <w:t xml:space="preserve"> Presents the research topic, significance, and objectives, concluding with the research problem or hypothesis.</w:t>
      </w:r>
    </w:p>
    <w:p w14:paraId="3740E224" w14:textId="77777777" w:rsidR="006860A7" w:rsidRPr="00F1068D" w:rsidRDefault="006860A7" w:rsidP="006860A7">
      <w:pPr>
        <w:numPr>
          <w:ilvl w:val="1"/>
          <w:numId w:val="2"/>
        </w:numPr>
        <w:rPr>
          <w:rFonts w:asciiTheme="majorBidi" w:hAnsiTheme="majorBidi" w:cstheme="majorBidi"/>
        </w:rPr>
      </w:pPr>
      <w:r w:rsidRPr="00F1068D">
        <w:rPr>
          <w:rFonts w:asciiTheme="majorBidi" w:hAnsiTheme="majorBidi" w:cstheme="majorBidi"/>
          <w:b/>
          <w:bCs/>
        </w:rPr>
        <w:t>Methodology:</w:t>
      </w:r>
      <w:r w:rsidRPr="00F1068D">
        <w:rPr>
          <w:rFonts w:asciiTheme="majorBidi" w:hAnsiTheme="majorBidi" w:cstheme="majorBidi"/>
        </w:rPr>
        <w:t xml:space="preserve"> Describes the research approach, tools, and study sample.</w:t>
      </w:r>
    </w:p>
    <w:p w14:paraId="4F306342" w14:textId="77777777" w:rsidR="006860A7" w:rsidRPr="00F1068D" w:rsidRDefault="006860A7" w:rsidP="006860A7">
      <w:pPr>
        <w:numPr>
          <w:ilvl w:val="1"/>
          <w:numId w:val="2"/>
        </w:numPr>
        <w:rPr>
          <w:rFonts w:asciiTheme="majorBidi" w:hAnsiTheme="majorBidi" w:cstheme="majorBidi"/>
        </w:rPr>
      </w:pPr>
      <w:r w:rsidRPr="00F1068D">
        <w:rPr>
          <w:rFonts w:asciiTheme="majorBidi" w:hAnsiTheme="majorBidi" w:cstheme="majorBidi"/>
          <w:b/>
          <w:bCs/>
        </w:rPr>
        <w:t>Results and Discussion:</w:t>
      </w:r>
      <w:r w:rsidRPr="00F1068D">
        <w:rPr>
          <w:rFonts w:asciiTheme="majorBidi" w:hAnsiTheme="majorBidi" w:cstheme="majorBidi"/>
        </w:rPr>
        <w:t xml:space="preserve"> Presents findings, analyzes results, and relates them to previous studies.</w:t>
      </w:r>
    </w:p>
    <w:p w14:paraId="0E5CAF33" w14:textId="77777777" w:rsidR="006860A7" w:rsidRPr="00F1068D" w:rsidRDefault="006860A7" w:rsidP="006860A7">
      <w:pPr>
        <w:numPr>
          <w:ilvl w:val="1"/>
          <w:numId w:val="2"/>
        </w:numPr>
        <w:rPr>
          <w:rFonts w:asciiTheme="majorBidi" w:hAnsiTheme="majorBidi" w:cstheme="majorBidi"/>
        </w:rPr>
      </w:pPr>
      <w:r w:rsidRPr="00F1068D">
        <w:rPr>
          <w:rFonts w:asciiTheme="majorBidi" w:hAnsiTheme="majorBidi" w:cstheme="majorBidi"/>
          <w:b/>
          <w:bCs/>
        </w:rPr>
        <w:t>Conclusions:</w:t>
      </w:r>
      <w:r w:rsidRPr="00F1068D">
        <w:rPr>
          <w:rFonts w:asciiTheme="majorBidi" w:hAnsiTheme="majorBidi" w:cstheme="majorBidi"/>
        </w:rPr>
        <w:t xml:space="preserve"> Summarizes the study’s scholarly contribution without repeating the results.</w:t>
      </w:r>
    </w:p>
    <w:p w14:paraId="14B9F14D" w14:textId="77777777" w:rsidR="006860A7" w:rsidRPr="00F1068D" w:rsidRDefault="006860A7" w:rsidP="006860A7">
      <w:pPr>
        <w:numPr>
          <w:ilvl w:val="0"/>
          <w:numId w:val="2"/>
        </w:numPr>
        <w:rPr>
          <w:rFonts w:asciiTheme="majorBidi" w:hAnsiTheme="majorBidi" w:cstheme="majorBidi"/>
        </w:rPr>
      </w:pPr>
      <w:r w:rsidRPr="00F1068D">
        <w:rPr>
          <w:rFonts w:asciiTheme="majorBidi" w:hAnsiTheme="majorBidi" w:cstheme="majorBidi"/>
        </w:rPr>
        <w:t>Graphs and illustrative figures must be embedded within the text, numbered consecutively, with titles and explanatory notes provided below each figure.</w:t>
      </w:r>
    </w:p>
    <w:p w14:paraId="3C6ACC2C" w14:textId="5FDA3D73" w:rsidR="006860A7" w:rsidRPr="00F1068D" w:rsidRDefault="00FA7B4C" w:rsidP="006860A7">
      <w:pPr>
        <w:numPr>
          <w:ilvl w:val="0"/>
          <w:numId w:val="2"/>
        </w:numPr>
        <w:rPr>
          <w:rFonts w:asciiTheme="majorBidi" w:hAnsiTheme="majorBidi" w:cstheme="majorBidi"/>
        </w:rPr>
      </w:pPr>
      <w:r w:rsidRPr="00F1068D">
        <w:rPr>
          <w:rFonts w:asciiTheme="majorBidi" w:hAnsiTheme="majorBidi" w:cstheme="majorBidi"/>
          <w:sz w:val="21"/>
          <w:szCs w:val="21"/>
        </w:rPr>
        <w:t xml:space="preserve">Tables should be included within the text and consecutively numbered and given titles above them. Explanatory notes are written down beneath the </w:t>
      </w:r>
      <w:r w:rsidR="00FC1488" w:rsidRPr="00F1068D">
        <w:rPr>
          <w:rFonts w:asciiTheme="majorBidi" w:hAnsiTheme="majorBidi" w:cstheme="majorBidi"/>
          <w:sz w:val="21"/>
          <w:szCs w:val="21"/>
        </w:rPr>
        <w:t>tables.</w:t>
      </w:r>
    </w:p>
    <w:p w14:paraId="68278C79" w14:textId="77777777" w:rsidR="006860A7" w:rsidRPr="00F1068D" w:rsidRDefault="006860A7" w:rsidP="006860A7">
      <w:pPr>
        <w:numPr>
          <w:ilvl w:val="0"/>
          <w:numId w:val="2"/>
        </w:numPr>
        <w:rPr>
          <w:rFonts w:asciiTheme="majorBidi" w:hAnsiTheme="majorBidi" w:cstheme="majorBidi"/>
          <w:sz w:val="21"/>
          <w:szCs w:val="21"/>
        </w:rPr>
      </w:pPr>
      <w:r w:rsidRPr="00F1068D">
        <w:rPr>
          <w:rFonts w:asciiTheme="majorBidi" w:hAnsiTheme="majorBidi" w:cstheme="majorBidi"/>
          <w:sz w:val="21"/>
          <w:szCs w:val="21"/>
        </w:rPr>
        <w:t>Figures and Images: Authors must clearly identify the source of all plates, figures, and illustrations. Images must be submitted at a minimum resolution of 300 DPI in JPG or TIFF formats. All necessary permissions for publication must be obtained and submitted. Full responsibility for securing copyright permissions—including for reproduced or previously published materials—rests with the author. All images must be embedded in their appropriate locations within the text.</w:t>
      </w:r>
    </w:p>
    <w:p w14:paraId="5044EBA7" w14:textId="459FE308" w:rsidR="006860A7" w:rsidRPr="00F1068D" w:rsidRDefault="00FA7B4C" w:rsidP="00FA7B4C">
      <w:pPr>
        <w:pStyle w:val="NormalWeb"/>
        <w:numPr>
          <w:ilvl w:val="0"/>
          <w:numId w:val="2"/>
        </w:numPr>
        <w:shd w:val="clear" w:color="auto" w:fill="FFFFFF"/>
        <w:bidi w:val="0"/>
        <w:spacing w:after="0"/>
        <w:rPr>
          <w:rFonts w:asciiTheme="majorBidi" w:hAnsiTheme="majorBidi" w:cstheme="majorBidi"/>
          <w:sz w:val="21"/>
          <w:szCs w:val="21"/>
        </w:rPr>
      </w:pPr>
      <w:r w:rsidRPr="00F1068D">
        <w:rPr>
          <w:rFonts w:asciiTheme="majorBidi" w:hAnsiTheme="majorBidi" w:cstheme="majorBidi"/>
          <w:sz w:val="21"/>
          <w:szCs w:val="21"/>
        </w:rPr>
        <w:t xml:space="preserve">Margins should be 2.5 cm in width on all sides of the </w:t>
      </w:r>
      <w:r w:rsidR="00F1068D" w:rsidRPr="00F1068D">
        <w:rPr>
          <w:rFonts w:asciiTheme="majorBidi" w:hAnsiTheme="majorBidi" w:cstheme="majorBidi"/>
          <w:sz w:val="21"/>
          <w:szCs w:val="21"/>
        </w:rPr>
        <w:t>page.</w:t>
      </w:r>
    </w:p>
    <w:p w14:paraId="7F113C82" w14:textId="77777777" w:rsidR="006860A7" w:rsidRPr="00F1068D" w:rsidRDefault="006860A7" w:rsidP="006860A7">
      <w:pPr>
        <w:numPr>
          <w:ilvl w:val="0"/>
          <w:numId w:val="2"/>
        </w:numPr>
        <w:rPr>
          <w:rFonts w:asciiTheme="majorBidi" w:hAnsiTheme="majorBidi" w:cstheme="majorBidi"/>
        </w:rPr>
      </w:pPr>
      <w:r w:rsidRPr="00F1068D">
        <w:rPr>
          <w:rFonts w:asciiTheme="majorBidi" w:hAnsiTheme="majorBidi" w:cstheme="majorBidi"/>
        </w:rPr>
        <w:t>The journal adopts the APA 7th Edition citation and referencing system.</w:t>
      </w:r>
    </w:p>
    <w:p w14:paraId="534B3512" w14:textId="77777777" w:rsidR="006860A7" w:rsidRPr="00F1068D" w:rsidRDefault="006860A7" w:rsidP="006860A7">
      <w:pPr>
        <w:numPr>
          <w:ilvl w:val="0"/>
          <w:numId w:val="2"/>
        </w:numPr>
        <w:rPr>
          <w:rFonts w:asciiTheme="majorBidi" w:hAnsiTheme="majorBidi" w:cstheme="majorBidi"/>
        </w:rPr>
      </w:pPr>
      <w:r w:rsidRPr="00F1068D">
        <w:rPr>
          <w:rFonts w:asciiTheme="majorBidi" w:hAnsiTheme="majorBidi" w:cstheme="majorBidi"/>
        </w:rPr>
        <w:t xml:space="preserve">The journal follows the transliteration system for Arabic and Persian letters in accordance with the standards of the </w:t>
      </w:r>
      <w:r w:rsidRPr="00F1068D">
        <w:rPr>
          <w:rFonts w:asciiTheme="majorBidi" w:hAnsiTheme="majorBidi" w:cstheme="majorBidi"/>
          <w:i/>
          <w:iCs/>
        </w:rPr>
        <w:t>Encyclopaedia of Islam</w:t>
      </w:r>
      <w:r w:rsidRPr="00F1068D">
        <w:rPr>
          <w:rFonts w:asciiTheme="majorBidi" w:hAnsiTheme="majorBidi" w:cstheme="majorBidi"/>
        </w:rPr>
        <w:t>.</w:t>
      </w:r>
    </w:p>
    <w:p w14:paraId="073FD879" w14:textId="53232564" w:rsidR="006860A7" w:rsidRPr="00F1068D" w:rsidRDefault="00FA7B4C" w:rsidP="006860A7">
      <w:pPr>
        <w:numPr>
          <w:ilvl w:val="0"/>
          <w:numId w:val="2"/>
        </w:numPr>
        <w:rPr>
          <w:rFonts w:asciiTheme="majorBidi" w:hAnsiTheme="majorBidi" w:cstheme="majorBidi"/>
        </w:rPr>
      </w:pPr>
      <w:r w:rsidRPr="00F1068D">
        <w:rPr>
          <w:rFonts w:asciiTheme="majorBidi" w:hAnsiTheme="majorBidi" w:cstheme="majorBidi"/>
          <w:sz w:val="21"/>
          <w:szCs w:val="21"/>
        </w:rPr>
        <w:lastRenderedPageBreak/>
        <w:t>Citation in "References list" should be listed alphabetically according to the author's/authors' last name/s (in accordance with APA style)</w:t>
      </w:r>
      <w:r w:rsidR="006860A7" w:rsidRPr="00F1068D">
        <w:rPr>
          <w:rFonts w:asciiTheme="majorBidi" w:hAnsiTheme="majorBidi" w:cstheme="majorBidi"/>
        </w:rPr>
        <w:t>.</w:t>
      </w:r>
    </w:p>
    <w:p w14:paraId="376040C5" w14:textId="728AA37B" w:rsidR="006860A7" w:rsidRPr="00F1068D" w:rsidRDefault="006860A7" w:rsidP="006860A7">
      <w:pPr>
        <w:rPr>
          <w:rFonts w:asciiTheme="majorBidi" w:hAnsiTheme="majorBidi" w:cstheme="majorBidi"/>
        </w:rPr>
      </w:pPr>
    </w:p>
    <w:p w14:paraId="0F7A03BB" w14:textId="77777777" w:rsidR="00FA7B4C" w:rsidRPr="00F1068D" w:rsidRDefault="00FA7B4C" w:rsidP="00FA7B4C">
      <w:pPr>
        <w:pStyle w:val="Heading2"/>
        <w:shd w:val="clear" w:color="auto" w:fill="FFFFFF"/>
        <w:spacing w:before="0" w:after="0"/>
        <w:rPr>
          <w:rFonts w:asciiTheme="majorBidi" w:hAnsiTheme="majorBidi"/>
        </w:rPr>
      </w:pPr>
      <w:r w:rsidRPr="00F1068D">
        <w:rPr>
          <w:rStyle w:val="Strong"/>
          <w:rFonts w:asciiTheme="majorBidi" w:hAnsiTheme="majorBidi"/>
          <w:bCs w:val="0"/>
          <w:sz w:val="28"/>
          <w:szCs w:val="28"/>
        </w:rPr>
        <w:t>Required Submissions</w:t>
      </w:r>
    </w:p>
    <w:p w14:paraId="56EDCE4F" w14:textId="77777777" w:rsidR="00FA7B4C" w:rsidRPr="00F1068D" w:rsidRDefault="00FA7B4C" w:rsidP="00FA7B4C">
      <w:pPr>
        <w:pStyle w:val="NormalWeb"/>
        <w:numPr>
          <w:ilvl w:val="0"/>
          <w:numId w:val="5"/>
        </w:numPr>
        <w:shd w:val="clear" w:color="auto" w:fill="FFFFFF"/>
        <w:bidi w:val="0"/>
        <w:spacing w:after="0" w:line="240" w:lineRule="auto"/>
        <w:rPr>
          <w:rFonts w:asciiTheme="majorBidi" w:hAnsiTheme="majorBidi" w:cstheme="majorBidi"/>
          <w:sz w:val="21"/>
          <w:szCs w:val="21"/>
        </w:rPr>
      </w:pPr>
      <w:r w:rsidRPr="00F1068D">
        <w:rPr>
          <w:rFonts w:asciiTheme="majorBidi" w:hAnsiTheme="majorBidi" w:cstheme="majorBidi"/>
          <w:sz w:val="21"/>
          <w:szCs w:val="21"/>
        </w:rPr>
        <w:t>Copyrights transfer form.</w:t>
      </w:r>
    </w:p>
    <w:p w14:paraId="7C10A16F" w14:textId="6A0BC91B" w:rsidR="00FA7B4C" w:rsidRPr="00F1068D" w:rsidRDefault="00FA7B4C" w:rsidP="00FA7B4C">
      <w:pPr>
        <w:pStyle w:val="Heading2"/>
        <w:shd w:val="clear" w:color="auto" w:fill="FFFFFF"/>
        <w:rPr>
          <w:rFonts w:asciiTheme="majorBidi" w:hAnsiTheme="majorBidi"/>
        </w:rPr>
      </w:pPr>
      <w:r w:rsidRPr="00F1068D">
        <w:rPr>
          <w:rFonts w:asciiTheme="majorBidi" w:hAnsiTheme="majorBidi"/>
        </w:rPr>
        <w:t>Privacy Statement</w:t>
      </w:r>
    </w:p>
    <w:p w14:paraId="250E1F61" w14:textId="77777777" w:rsidR="00FA7B4C" w:rsidRPr="00F1068D" w:rsidRDefault="00FA7B4C" w:rsidP="00FA7B4C">
      <w:pPr>
        <w:pStyle w:val="NormalWeb"/>
        <w:shd w:val="clear" w:color="auto" w:fill="FFFFFF"/>
        <w:bidi w:val="0"/>
        <w:rPr>
          <w:rFonts w:asciiTheme="majorBidi" w:hAnsiTheme="majorBidi" w:cstheme="majorBidi"/>
          <w:sz w:val="21"/>
          <w:szCs w:val="21"/>
        </w:rPr>
      </w:pPr>
      <w:r w:rsidRPr="00F1068D">
        <w:rPr>
          <w:rFonts w:asciiTheme="majorBidi" w:hAnsiTheme="majorBidi" w:cstheme="majorBidi"/>
          <w:sz w:val="21"/>
          <w:szCs w:val="21"/>
        </w:rPr>
        <w:t>The names and email addresses entered in this journal site will be used exclusively for the stated purposes of this journal and will not be made available for any other purpose or to any other party.</w:t>
      </w:r>
    </w:p>
    <w:p w14:paraId="7F8DF5E9" w14:textId="6D1666FE" w:rsidR="006860A7" w:rsidRPr="00F1068D" w:rsidRDefault="006860A7" w:rsidP="006860A7">
      <w:pPr>
        <w:rPr>
          <w:rFonts w:asciiTheme="majorBidi" w:hAnsiTheme="majorBidi" w:cstheme="majorBidi"/>
          <w:lang w:val="en-GB"/>
        </w:rPr>
      </w:pPr>
    </w:p>
    <w:p w14:paraId="38A647B6" w14:textId="475644A6" w:rsidR="00FA7B4C" w:rsidRPr="00F1068D" w:rsidRDefault="00FA7B4C">
      <w:pPr>
        <w:rPr>
          <w:rFonts w:asciiTheme="majorBidi" w:hAnsiTheme="majorBidi" w:cstheme="majorBidi"/>
        </w:rPr>
      </w:pPr>
      <w:r w:rsidRPr="00F1068D">
        <w:rPr>
          <w:rFonts w:asciiTheme="majorBidi" w:hAnsiTheme="majorBidi" w:cstheme="majorBidi"/>
        </w:rPr>
        <w:br w:type="page"/>
      </w:r>
    </w:p>
    <w:p w14:paraId="566E18F4" w14:textId="4AC1366A" w:rsidR="003B15CE" w:rsidRPr="00FC1488" w:rsidRDefault="00FA7B4C" w:rsidP="003B15CE">
      <w:pPr>
        <w:bidi/>
        <w:jc w:val="center"/>
        <w:rPr>
          <w:rFonts w:ascii="Sakkal Majalla" w:hAnsi="Sakkal Majalla" w:cs="Sakkal Majalla"/>
          <w:b/>
          <w:bCs/>
          <w:sz w:val="28"/>
          <w:szCs w:val="28"/>
          <w:rtl/>
        </w:rPr>
      </w:pPr>
      <w:r w:rsidRPr="00FC1488">
        <w:rPr>
          <w:rFonts w:ascii="Sakkal Majalla" w:hAnsi="Sakkal Majalla" w:cs="Sakkal Majalla"/>
          <w:b/>
          <w:bCs/>
          <w:color w:val="000000"/>
          <w:sz w:val="28"/>
          <w:szCs w:val="28"/>
          <w:rtl/>
        </w:rPr>
        <w:lastRenderedPageBreak/>
        <w:t xml:space="preserve">عنوان البحث: </w:t>
      </w:r>
      <w:r w:rsidR="003B15CE" w:rsidRPr="00FC1488">
        <w:rPr>
          <w:rFonts w:ascii="Sakkal Majalla" w:hAnsi="Sakkal Majalla" w:cs="Sakkal Majalla"/>
          <w:b/>
          <w:bCs/>
          <w:sz w:val="28"/>
          <w:szCs w:val="28"/>
          <w:rtl/>
        </w:rPr>
        <w:t>أدلة على صناعة الزجاج في دبا، دولة الإمارات العربية المتحدة: دراسة آركيومترية</w:t>
      </w:r>
    </w:p>
    <w:p w14:paraId="58C029D2" w14:textId="77777777" w:rsidR="003B15CE" w:rsidRPr="00FC1488" w:rsidRDefault="003B15CE" w:rsidP="003B15CE">
      <w:pPr>
        <w:jc w:val="center"/>
        <w:rPr>
          <w:rFonts w:ascii="Sakkal Majalla" w:hAnsi="Sakkal Majalla" w:cs="Sakkal Majalla"/>
          <w:b/>
          <w:bCs/>
          <w:sz w:val="28"/>
          <w:szCs w:val="28"/>
          <w:rtl/>
        </w:rPr>
      </w:pPr>
    </w:p>
    <w:p w14:paraId="5F114DAE" w14:textId="77777777" w:rsidR="003B15CE" w:rsidRPr="00FC1488" w:rsidRDefault="003B15CE" w:rsidP="003B15CE">
      <w:pPr>
        <w:jc w:val="center"/>
        <w:rPr>
          <w:rFonts w:ascii="Sakkal Majalla" w:hAnsi="Sakkal Majalla" w:cs="Sakkal Majalla"/>
          <w:b/>
          <w:bCs/>
          <w:sz w:val="28"/>
          <w:szCs w:val="28"/>
          <w:rtl/>
        </w:rPr>
      </w:pPr>
    </w:p>
    <w:p w14:paraId="35DDF7BC" w14:textId="77777777" w:rsidR="003B15CE" w:rsidRPr="00FC1488" w:rsidRDefault="003B15CE" w:rsidP="003B15CE">
      <w:pPr>
        <w:bidi/>
        <w:jc w:val="center"/>
        <w:rPr>
          <w:rFonts w:ascii="Sakkal Majalla" w:hAnsi="Sakkal Majalla" w:cs="Sakkal Majalla"/>
          <w:b/>
          <w:bCs/>
          <w:sz w:val="28"/>
          <w:szCs w:val="28"/>
        </w:rPr>
      </w:pPr>
    </w:p>
    <w:p w14:paraId="1F75B3E0" w14:textId="03ADA4B8" w:rsidR="003B15CE" w:rsidRPr="00FC1488" w:rsidRDefault="003B15CE" w:rsidP="003B15CE">
      <w:pPr>
        <w:jc w:val="center"/>
        <w:rPr>
          <w:rFonts w:ascii="Sakkal Majalla" w:hAnsi="Sakkal Majalla" w:cs="Sakkal Majalla"/>
          <w:sz w:val="28"/>
          <w:szCs w:val="28"/>
          <w:rtl/>
        </w:rPr>
      </w:pPr>
      <w:r w:rsidRPr="00FC1488">
        <w:rPr>
          <w:rFonts w:ascii="Sakkal Majalla" w:hAnsi="Sakkal Majalla" w:cs="Sakkal Majalla"/>
          <w:b/>
          <w:bCs/>
          <w:sz w:val="28"/>
          <w:szCs w:val="28"/>
          <w:rtl/>
        </w:rPr>
        <w:t>عطا ج. عطا المنان أ*، عيسى يوسف</w:t>
      </w:r>
      <w:r w:rsidRPr="00FC1488">
        <w:rPr>
          <w:rFonts w:ascii="Sakkal Majalla" w:hAnsi="Sakkal Majalla" w:cs="Sakkal Majalla"/>
          <w:b/>
          <w:bCs/>
          <w:sz w:val="28"/>
          <w:szCs w:val="28"/>
          <w:vertAlign w:val="superscript"/>
          <w:rtl/>
        </w:rPr>
        <w:t>ب</w:t>
      </w:r>
      <w:r w:rsidRPr="00FC1488">
        <w:rPr>
          <w:rFonts w:ascii="Sakkal Majalla" w:hAnsi="Sakkal Majalla" w:cs="Sakkal Majalla"/>
          <w:b/>
          <w:bCs/>
          <w:sz w:val="28"/>
          <w:szCs w:val="28"/>
          <w:rtl/>
        </w:rPr>
        <w:t xml:space="preserve">، صباح جاسم </w:t>
      </w:r>
      <w:r w:rsidRPr="00FC1488">
        <w:rPr>
          <w:rFonts w:ascii="Sakkal Majalla" w:hAnsi="Sakkal Majalla" w:cs="Sakkal Majalla"/>
          <w:b/>
          <w:bCs/>
          <w:sz w:val="28"/>
          <w:szCs w:val="28"/>
          <w:vertAlign w:val="superscript"/>
          <w:rtl/>
        </w:rPr>
        <w:t>ب</w:t>
      </w:r>
      <w:r w:rsidRPr="00FC1488">
        <w:rPr>
          <w:rFonts w:ascii="Sakkal Majalla" w:hAnsi="Sakkal Majalla" w:cs="Sakkal Majalla"/>
          <w:sz w:val="28"/>
          <w:szCs w:val="28"/>
        </w:rPr>
        <w:br/>
      </w:r>
      <w:r w:rsidRPr="00FC1488">
        <w:rPr>
          <w:rFonts w:ascii="Sakkal Majalla" w:hAnsi="Sakkal Majalla" w:cs="Sakkal Majalla"/>
          <w:sz w:val="28"/>
          <w:szCs w:val="28"/>
          <w:vertAlign w:val="superscript"/>
          <w:rtl/>
        </w:rPr>
        <w:t>أ</w:t>
      </w:r>
      <w:r w:rsidR="002F151F" w:rsidRPr="00FC1488">
        <w:rPr>
          <w:rFonts w:ascii="Sakkal Majalla" w:hAnsi="Sakkal Majalla" w:cs="Sakkal Majalla"/>
          <w:sz w:val="28"/>
          <w:szCs w:val="28"/>
          <w:vertAlign w:val="superscript"/>
          <w:rtl/>
        </w:rPr>
        <w:t xml:space="preserve"> </w:t>
      </w:r>
      <w:r w:rsidRPr="00FC1488">
        <w:rPr>
          <w:rFonts w:ascii="Sakkal Majalla" w:hAnsi="Sakkal Majalla" w:cs="Sakkal Majalla"/>
          <w:sz w:val="28"/>
          <w:szCs w:val="28"/>
          <w:rtl/>
        </w:rPr>
        <w:t>قسم الفيزياء التطبيقية والفلك، جامعة الشارقة، دولة الإمارات العربية المتحدة</w:t>
      </w:r>
      <w:r w:rsidRPr="00FC1488">
        <w:rPr>
          <w:rFonts w:ascii="Sakkal Majalla" w:hAnsi="Sakkal Majalla" w:cs="Sakkal Majalla"/>
          <w:sz w:val="28"/>
          <w:szCs w:val="28"/>
        </w:rPr>
        <w:br/>
      </w:r>
      <w:r w:rsidRPr="00FC1488">
        <w:rPr>
          <w:rFonts w:ascii="Sakkal Majalla" w:hAnsi="Sakkal Majalla" w:cs="Sakkal Majalla"/>
          <w:sz w:val="28"/>
          <w:szCs w:val="28"/>
          <w:vertAlign w:val="superscript"/>
          <w:rtl/>
        </w:rPr>
        <w:t xml:space="preserve">ب </w:t>
      </w:r>
      <w:r w:rsidRPr="00FC1488">
        <w:rPr>
          <w:rFonts w:ascii="Sakkal Majalla" w:hAnsi="Sakkal Majalla" w:cs="Sakkal Majalla"/>
          <w:sz w:val="28"/>
          <w:szCs w:val="28"/>
          <w:rtl/>
        </w:rPr>
        <w:t>هيئة الشارقة للآثار، الشارقة، دولة الإمارات العربية المتحدة</w:t>
      </w:r>
    </w:p>
    <w:p w14:paraId="01826448" w14:textId="77777777" w:rsidR="003B15CE" w:rsidRPr="00FC1488" w:rsidRDefault="003B15CE" w:rsidP="003B15CE">
      <w:pPr>
        <w:bidi/>
        <w:jc w:val="center"/>
        <w:rPr>
          <w:rFonts w:ascii="Sakkal Majalla" w:hAnsi="Sakkal Majalla" w:cs="Sakkal Majalla"/>
          <w:sz w:val="28"/>
          <w:szCs w:val="28"/>
        </w:rPr>
      </w:pPr>
    </w:p>
    <w:p w14:paraId="024DD1B6" w14:textId="77777777" w:rsidR="003B15CE" w:rsidRPr="00FC1488" w:rsidRDefault="003B15CE" w:rsidP="003B15CE">
      <w:pPr>
        <w:autoSpaceDE w:val="0"/>
        <w:autoSpaceDN w:val="0"/>
        <w:bidi/>
        <w:adjustRightInd w:val="0"/>
        <w:spacing w:before="170" w:after="0" w:line="320" w:lineRule="atLeast"/>
        <w:jc w:val="both"/>
        <w:textAlignment w:val="center"/>
        <w:rPr>
          <w:rFonts w:ascii="Sakkal Majalla" w:hAnsi="Sakkal Majalla" w:cs="Sakkal Majalla"/>
          <w:b/>
          <w:bCs/>
          <w:color w:val="000000"/>
          <w:sz w:val="28"/>
          <w:szCs w:val="28"/>
          <w:rtl/>
        </w:rPr>
      </w:pPr>
      <w:r w:rsidRPr="00FC1488">
        <w:rPr>
          <w:rFonts w:ascii="Sakkal Majalla" w:hAnsi="Sakkal Majalla" w:cs="Sakkal Majalla"/>
          <w:b/>
          <w:bCs/>
          <w:color w:val="000000"/>
          <w:sz w:val="28"/>
          <w:szCs w:val="28"/>
          <w:rtl/>
        </w:rPr>
        <w:t>ملخص</w:t>
      </w:r>
      <w:r w:rsidRPr="00FC1488">
        <w:rPr>
          <w:rFonts w:ascii="Sakkal Majalla" w:hAnsi="Sakkal Majalla" w:cs="Sakkal Majalla"/>
          <w:b/>
          <w:bCs/>
          <w:color w:val="000000"/>
          <w:sz w:val="28"/>
          <w:szCs w:val="28"/>
        </w:rPr>
        <w:t xml:space="preserve"> </w:t>
      </w:r>
      <w:r w:rsidRPr="00FC1488">
        <w:rPr>
          <w:rFonts w:ascii="Sakkal Majalla" w:hAnsi="Sakkal Majalla" w:cs="Sakkal Majalla"/>
          <w:b/>
          <w:bCs/>
          <w:color w:val="000000"/>
          <w:sz w:val="28"/>
          <w:szCs w:val="28"/>
          <w:rtl/>
        </w:rPr>
        <w:t>البحث</w:t>
      </w:r>
      <w:r w:rsidRPr="00FC1488">
        <w:rPr>
          <w:rFonts w:ascii="Sakkal Majalla" w:hAnsi="Sakkal Majalla" w:cs="Sakkal Majalla"/>
          <w:b/>
          <w:bCs/>
          <w:color w:val="000000"/>
          <w:sz w:val="28"/>
          <w:szCs w:val="28"/>
        </w:rPr>
        <w:t>:</w:t>
      </w:r>
    </w:p>
    <w:p w14:paraId="7E72E564" w14:textId="77777777" w:rsidR="003B15CE" w:rsidRPr="00FC1488" w:rsidRDefault="003B15CE" w:rsidP="003B15CE">
      <w:pPr>
        <w:autoSpaceDE w:val="0"/>
        <w:autoSpaceDN w:val="0"/>
        <w:bidi/>
        <w:adjustRightInd w:val="0"/>
        <w:spacing w:before="170" w:after="0" w:line="320" w:lineRule="atLeast"/>
        <w:jc w:val="both"/>
        <w:textAlignment w:val="center"/>
        <w:rPr>
          <w:rFonts w:ascii="Sakkal Majalla" w:hAnsi="Sakkal Majalla" w:cs="Sakkal Majalla"/>
          <w:b/>
          <w:bCs/>
          <w:color w:val="000000"/>
          <w:sz w:val="28"/>
          <w:szCs w:val="28"/>
        </w:rPr>
      </w:pPr>
      <w:r w:rsidRPr="00FC1488">
        <w:rPr>
          <w:rFonts w:ascii="Sakkal Majalla" w:hAnsi="Sakkal Majalla" w:cs="Sakkal Majalla"/>
          <w:sz w:val="28"/>
          <w:szCs w:val="28"/>
          <w:rtl/>
        </w:rPr>
        <w:t>عُثر في موقع أثري مكتشف في مدينة دبا، بدولة الإمارات العربية المتحدة على كتل زجاجية</w:t>
      </w:r>
    </w:p>
    <w:p w14:paraId="18D73476" w14:textId="77777777" w:rsidR="003B15CE" w:rsidRPr="00FC1488" w:rsidRDefault="003B15CE" w:rsidP="003B15CE">
      <w:pPr>
        <w:bidi/>
        <w:jc w:val="both"/>
        <w:rPr>
          <w:rFonts w:ascii="Sakkal Majalla" w:hAnsi="Sakkal Majalla" w:cs="Sakkal Majalla"/>
          <w:sz w:val="28"/>
          <w:szCs w:val="28"/>
        </w:rPr>
      </w:pPr>
      <w:r w:rsidRPr="00FC1488">
        <w:rPr>
          <w:rFonts w:ascii="Sakkal Majalla" w:hAnsi="Sakkal Majalla" w:cs="Sakkal Majalla"/>
          <w:sz w:val="28"/>
          <w:szCs w:val="28"/>
          <w:rtl/>
        </w:rPr>
        <w:t xml:space="preserve">تم تحليلها باستخدام تقنية التحليل الطيفي بالأشعة السينية </w:t>
      </w:r>
      <w:r w:rsidRPr="00FC1488">
        <w:rPr>
          <w:rFonts w:ascii="Sakkal Majalla" w:hAnsi="Sakkal Majalla" w:cs="Sakkal Majalla"/>
          <w:sz w:val="28"/>
          <w:szCs w:val="28"/>
        </w:rPr>
        <w:t>(XRF)</w:t>
      </w:r>
      <w:r w:rsidRPr="00FC1488">
        <w:rPr>
          <w:rFonts w:ascii="Sakkal Majalla" w:hAnsi="Sakkal Majalla" w:cs="Sakkal Majalla"/>
          <w:sz w:val="28"/>
          <w:szCs w:val="28"/>
          <w:rtl/>
        </w:rPr>
        <w:t>، وذلك لتحديد تركيبها العنصري ودراسة علاقتها بشظايا الأواني الزجاجية المكتشفة في الموقع نفسه</w:t>
      </w:r>
      <w:r w:rsidRPr="00FC1488">
        <w:rPr>
          <w:rFonts w:ascii="Sakkal Majalla" w:hAnsi="Sakkal Majalla" w:cs="Sakkal Majalla"/>
          <w:sz w:val="28"/>
          <w:szCs w:val="28"/>
        </w:rPr>
        <w:t>.</w:t>
      </w:r>
    </w:p>
    <w:p w14:paraId="1304593A" w14:textId="77777777" w:rsidR="003B15CE" w:rsidRPr="00FC1488" w:rsidRDefault="003B15CE" w:rsidP="003B15CE">
      <w:pPr>
        <w:bidi/>
        <w:jc w:val="both"/>
        <w:rPr>
          <w:rFonts w:ascii="Sakkal Majalla" w:hAnsi="Sakkal Majalla" w:cs="Sakkal Majalla"/>
          <w:sz w:val="28"/>
          <w:szCs w:val="28"/>
        </w:rPr>
      </w:pPr>
      <w:r w:rsidRPr="00FC1488">
        <w:rPr>
          <w:rFonts w:ascii="Sakkal Majalla" w:hAnsi="Sakkal Majalla" w:cs="Sakkal Majalla"/>
          <w:sz w:val="28"/>
          <w:szCs w:val="28"/>
          <w:rtl/>
        </w:rPr>
        <w:t>أظهرت نتائج التحليل الكمي بتقنية</w:t>
      </w:r>
      <w:r w:rsidRPr="00FC1488">
        <w:rPr>
          <w:rFonts w:ascii="Sakkal Majalla" w:hAnsi="Sakkal Majalla" w:cs="Sakkal Majalla"/>
          <w:sz w:val="28"/>
          <w:szCs w:val="28"/>
        </w:rPr>
        <w:t xml:space="preserve"> XRF </w:t>
      </w:r>
      <w:r w:rsidRPr="00FC1488">
        <w:rPr>
          <w:rFonts w:ascii="Sakkal Majalla" w:hAnsi="Sakkal Majalla" w:cs="Sakkal Majalla"/>
          <w:sz w:val="28"/>
          <w:szCs w:val="28"/>
          <w:rtl/>
        </w:rPr>
        <w:t>أن الزجاج قيد الدراسة ينتمي إلى زجاج الصودا–الجير المعتمد على رماد النباتات، حيث تسود نسبة الصودا مقارنة بالبوتاس والجير والمغنيسيا، مما يدل على استخدام مصدر نباتي للمواد القلوية. كما بينت النتائج أن جميع العينات تتمتع بتركيب عنصري متقارب، مع وجود فروق طفيفة في نسب التركيز</w:t>
      </w:r>
      <w:r w:rsidRPr="00FC1488">
        <w:rPr>
          <w:rFonts w:ascii="Sakkal Majalla" w:hAnsi="Sakkal Majalla" w:cs="Sakkal Majalla"/>
          <w:sz w:val="28"/>
          <w:szCs w:val="28"/>
        </w:rPr>
        <w:t>.</w:t>
      </w:r>
    </w:p>
    <w:p w14:paraId="28DFCF0D" w14:textId="77777777" w:rsidR="003B15CE" w:rsidRPr="00FC1488" w:rsidRDefault="003B15CE" w:rsidP="003B15CE">
      <w:pPr>
        <w:bidi/>
        <w:jc w:val="both"/>
        <w:rPr>
          <w:rFonts w:ascii="Sakkal Majalla" w:hAnsi="Sakkal Majalla" w:cs="Sakkal Majalla"/>
          <w:sz w:val="28"/>
          <w:szCs w:val="28"/>
        </w:rPr>
      </w:pPr>
      <w:r w:rsidRPr="00FC1488">
        <w:rPr>
          <w:rFonts w:ascii="Sakkal Majalla" w:hAnsi="Sakkal Majalla" w:cs="Sakkal Majalla"/>
          <w:sz w:val="28"/>
          <w:szCs w:val="28"/>
          <w:rtl/>
        </w:rPr>
        <w:t>وتؤكد هذه النتائج أن الأواني الزجاجية والكتل الزجاجية المكتشفة في الموقع تعود إلى مصدر إنتاج واحد، إذ تتطابق في تركيبها العنصري. كما أن الكم الكبير من الكتل الزجاجية المكتشفة، إلى جانب وجود شظايا الأواني الزجاجية، يشير بوضوح إلى وجود ورشة لصناعة الزجاج في موقع دبا الأثري، وذلك خلال الفترة الممتدة من أواخر القرن الأول قبل الميلاد وحتى نهاية القرن الأول الميلادي</w:t>
      </w:r>
      <w:r w:rsidRPr="00FC1488">
        <w:rPr>
          <w:rFonts w:ascii="Sakkal Majalla" w:hAnsi="Sakkal Majalla" w:cs="Sakkal Majalla"/>
          <w:sz w:val="28"/>
          <w:szCs w:val="28"/>
        </w:rPr>
        <w:t>.</w:t>
      </w:r>
    </w:p>
    <w:p w14:paraId="2D16FC6B" w14:textId="77777777" w:rsidR="003B15CE" w:rsidRPr="00FC1488" w:rsidRDefault="003B15CE" w:rsidP="003B15CE">
      <w:pPr>
        <w:autoSpaceDE w:val="0"/>
        <w:autoSpaceDN w:val="0"/>
        <w:bidi/>
        <w:adjustRightInd w:val="0"/>
        <w:spacing w:before="170" w:after="0" w:line="320" w:lineRule="atLeast"/>
        <w:jc w:val="both"/>
        <w:textAlignment w:val="center"/>
        <w:rPr>
          <w:rFonts w:ascii="Sakkal Majalla" w:hAnsi="Sakkal Majalla" w:cs="Sakkal Majalla"/>
          <w:b/>
          <w:bCs/>
          <w:color w:val="000000"/>
          <w:sz w:val="28"/>
          <w:szCs w:val="28"/>
          <w:rtl/>
        </w:rPr>
      </w:pPr>
      <w:r w:rsidRPr="00FC1488">
        <w:rPr>
          <w:rFonts w:ascii="Sakkal Majalla" w:hAnsi="Sakkal Majalla" w:cs="Sakkal Majalla"/>
          <w:b/>
          <w:bCs/>
          <w:color w:val="000000"/>
          <w:sz w:val="28"/>
          <w:szCs w:val="28"/>
          <w:rtl/>
        </w:rPr>
        <w:t>الكلمات</w:t>
      </w:r>
      <w:r w:rsidRPr="00FC1488">
        <w:rPr>
          <w:rFonts w:ascii="Sakkal Majalla" w:hAnsi="Sakkal Majalla" w:cs="Sakkal Majalla"/>
          <w:b/>
          <w:bCs/>
          <w:color w:val="000000"/>
          <w:sz w:val="28"/>
          <w:szCs w:val="28"/>
        </w:rPr>
        <w:t xml:space="preserve"> </w:t>
      </w:r>
      <w:r w:rsidRPr="00FC1488">
        <w:rPr>
          <w:rFonts w:ascii="Sakkal Majalla" w:hAnsi="Sakkal Majalla" w:cs="Sakkal Majalla"/>
          <w:b/>
          <w:bCs/>
          <w:color w:val="000000"/>
          <w:sz w:val="28"/>
          <w:szCs w:val="28"/>
          <w:rtl/>
        </w:rPr>
        <w:t>الدالة</w:t>
      </w:r>
    </w:p>
    <w:p w14:paraId="65DE4E6A" w14:textId="77777777" w:rsidR="003B15CE" w:rsidRPr="00FC1488" w:rsidRDefault="003B15CE" w:rsidP="003B15CE">
      <w:pPr>
        <w:bidi/>
        <w:rPr>
          <w:rFonts w:ascii="Sakkal Majalla" w:hAnsi="Sakkal Majalla" w:cs="Sakkal Majalla"/>
          <w:sz w:val="28"/>
          <w:szCs w:val="28"/>
        </w:rPr>
      </w:pPr>
      <w:r w:rsidRPr="00FC1488">
        <w:rPr>
          <w:rFonts w:ascii="Sakkal Majalla" w:hAnsi="Sakkal Majalla" w:cs="Sakkal Majalla"/>
          <w:sz w:val="28"/>
          <w:szCs w:val="28"/>
          <w:rtl/>
        </w:rPr>
        <w:t xml:space="preserve">دبا، الزجاج، الكتل الزجاجية، </w:t>
      </w:r>
      <w:r w:rsidRPr="00FC1488">
        <w:rPr>
          <w:rFonts w:ascii="Sakkal Majalla" w:hAnsi="Sakkal Majalla" w:cs="Sakkal Majalla"/>
          <w:sz w:val="28"/>
          <w:szCs w:val="28"/>
        </w:rPr>
        <w:t>XRF</w:t>
      </w:r>
    </w:p>
    <w:p w14:paraId="1C732588" w14:textId="77777777" w:rsidR="003B15CE" w:rsidRPr="00FC1488" w:rsidRDefault="003B15CE" w:rsidP="003B15CE">
      <w:pPr>
        <w:bidi/>
        <w:rPr>
          <w:rFonts w:ascii="Sakkal Majalla" w:hAnsi="Sakkal Majalla" w:cs="Sakkal Majalla"/>
          <w:sz w:val="28"/>
          <w:szCs w:val="28"/>
        </w:rPr>
      </w:pPr>
    </w:p>
    <w:p w14:paraId="087390E6" w14:textId="51FF5087" w:rsidR="003B15CE" w:rsidRPr="00FC1488" w:rsidRDefault="003B15CE" w:rsidP="003B15CE">
      <w:pPr>
        <w:bidi/>
        <w:rPr>
          <w:rFonts w:ascii="Sakkal Majalla" w:hAnsi="Sakkal Majalla" w:cs="Sakkal Majalla"/>
          <w:b/>
          <w:bCs/>
          <w:color w:val="000000"/>
          <w:sz w:val="28"/>
          <w:szCs w:val="28"/>
          <w:rtl/>
        </w:rPr>
      </w:pPr>
    </w:p>
    <w:sectPr w:rsidR="003B15CE" w:rsidRPr="00FC1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939"/>
    <w:multiLevelType w:val="multilevel"/>
    <w:tmpl w:val="103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E0626"/>
    <w:multiLevelType w:val="multilevel"/>
    <w:tmpl w:val="32E009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A416F"/>
    <w:multiLevelType w:val="multilevel"/>
    <w:tmpl w:val="DCDA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A2C5E"/>
    <w:multiLevelType w:val="multilevel"/>
    <w:tmpl w:val="B4E0A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84575C"/>
    <w:multiLevelType w:val="multilevel"/>
    <w:tmpl w:val="48F8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501832">
    <w:abstractNumId w:val="4"/>
  </w:num>
  <w:num w:numId="2" w16cid:durableId="1990942441">
    <w:abstractNumId w:val="3"/>
  </w:num>
  <w:num w:numId="3" w16cid:durableId="1062019568">
    <w:abstractNumId w:val="2"/>
  </w:num>
  <w:num w:numId="4" w16cid:durableId="1762991573">
    <w:abstractNumId w:val="0"/>
  </w:num>
  <w:num w:numId="5" w16cid:durableId="9976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A7"/>
    <w:rsid w:val="00097DE5"/>
    <w:rsid w:val="00150BDE"/>
    <w:rsid w:val="00166713"/>
    <w:rsid w:val="002F151F"/>
    <w:rsid w:val="003B15CE"/>
    <w:rsid w:val="0043487F"/>
    <w:rsid w:val="006860A7"/>
    <w:rsid w:val="007964B8"/>
    <w:rsid w:val="009724D2"/>
    <w:rsid w:val="00B30DFE"/>
    <w:rsid w:val="00E07731"/>
    <w:rsid w:val="00F1068D"/>
    <w:rsid w:val="00FA7B4C"/>
    <w:rsid w:val="00FC1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74B5"/>
  <w15:chartTrackingRefBased/>
  <w15:docId w15:val="{9CDCFD82-5089-4631-B72E-81061261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0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860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0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0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0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860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0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0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0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0A7"/>
    <w:rPr>
      <w:rFonts w:eastAsiaTheme="majorEastAsia" w:cstheme="majorBidi"/>
      <w:color w:val="272727" w:themeColor="text1" w:themeTint="D8"/>
    </w:rPr>
  </w:style>
  <w:style w:type="paragraph" w:styleId="Title">
    <w:name w:val="Title"/>
    <w:basedOn w:val="Normal"/>
    <w:next w:val="Normal"/>
    <w:link w:val="TitleChar"/>
    <w:uiPriority w:val="10"/>
    <w:qFormat/>
    <w:rsid w:val="00686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0A7"/>
    <w:pPr>
      <w:spacing w:before="160"/>
      <w:jc w:val="center"/>
    </w:pPr>
    <w:rPr>
      <w:i/>
      <w:iCs/>
      <w:color w:val="404040" w:themeColor="text1" w:themeTint="BF"/>
    </w:rPr>
  </w:style>
  <w:style w:type="character" w:customStyle="1" w:styleId="QuoteChar">
    <w:name w:val="Quote Char"/>
    <w:basedOn w:val="DefaultParagraphFont"/>
    <w:link w:val="Quote"/>
    <w:uiPriority w:val="29"/>
    <w:rsid w:val="006860A7"/>
    <w:rPr>
      <w:i/>
      <w:iCs/>
      <w:color w:val="404040" w:themeColor="text1" w:themeTint="BF"/>
    </w:rPr>
  </w:style>
  <w:style w:type="paragraph" w:styleId="ListParagraph">
    <w:name w:val="List Paragraph"/>
    <w:basedOn w:val="Normal"/>
    <w:uiPriority w:val="34"/>
    <w:qFormat/>
    <w:rsid w:val="006860A7"/>
    <w:pPr>
      <w:ind w:left="720"/>
      <w:contextualSpacing/>
    </w:pPr>
  </w:style>
  <w:style w:type="character" w:styleId="IntenseEmphasis">
    <w:name w:val="Intense Emphasis"/>
    <w:basedOn w:val="DefaultParagraphFont"/>
    <w:uiPriority w:val="21"/>
    <w:qFormat/>
    <w:rsid w:val="006860A7"/>
    <w:rPr>
      <w:i/>
      <w:iCs/>
      <w:color w:val="2F5496" w:themeColor="accent1" w:themeShade="BF"/>
    </w:rPr>
  </w:style>
  <w:style w:type="paragraph" w:styleId="IntenseQuote">
    <w:name w:val="Intense Quote"/>
    <w:basedOn w:val="Normal"/>
    <w:next w:val="Normal"/>
    <w:link w:val="IntenseQuoteChar"/>
    <w:uiPriority w:val="30"/>
    <w:qFormat/>
    <w:rsid w:val="00686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0A7"/>
    <w:rPr>
      <w:i/>
      <w:iCs/>
      <w:color w:val="2F5496" w:themeColor="accent1" w:themeShade="BF"/>
    </w:rPr>
  </w:style>
  <w:style w:type="character" w:styleId="IntenseReference">
    <w:name w:val="Intense Reference"/>
    <w:basedOn w:val="DefaultParagraphFont"/>
    <w:uiPriority w:val="32"/>
    <w:qFormat/>
    <w:rsid w:val="006860A7"/>
    <w:rPr>
      <w:b/>
      <w:bCs/>
      <w:smallCaps/>
      <w:color w:val="2F5496" w:themeColor="accent1" w:themeShade="BF"/>
      <w:spacing w:val="5"/>
    </w:rPr>
  </w:style>
  <w:style w:type="paragraph" w:styleId="NormalWeb">
    <w:name w:val="Normal (Web)"/>
    <w:basedOn w:val="Normal"/>
    <w:uiPriority w:val="99"/>
    <w:unhideWhenUsed/>
    <w:rsid w:val="006860A7"/>
    <w:pPr>
      <w:bidi/>
      <w:spacing w:line="259" w:lineRule="auto"/>
    </w:pPr>
    <w:rPr>
      <w:rFonts w:ascii="Times New Roman" w:eastAsia="Calibri" w:hAnsi="Times New Roman" w:cs="Times New Roman"/>
      <w:kern w:val="0"/>
      <w:lang w:val="en-GB"/>
      <w14:ligatures w14:val="none"/>
    </w:rPr>
  </w:style>
  <w:style w:type="character" w:styleId="Strong">
    <w:name w:val="Strong"/>
    <w:basedOn w:val="DefaultParagraphFont"/>
    <w:uiPriority w:val="22"/>
    <w:qFormat/>
    <w:rsid w:val="006860A7"/>
    <w:rPr>
      <w:b/>
      <w:bCs/>
    </w:rPr>
  </w:style>
  <w:style w:type="character" w:styleId="Hyperlink">
    <w:name w:val="Hyperlink"/>
    <w:basedOn w:val="DefaultParagraphFont"/>
    <w:uiPriority w:val="99"/>
    <w:unhideWhenUsed/>
    <w:rsid w:val="00FA7B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عبدالحميد  النمر</dc:creator>
  <cp:keywords/>
  <dc:description/>
  <cp:lastModifiedBy>محمد الهمشري</cp:lastModifiedBy>
  <cp:revision>8</cp:revision>
  <dcterms:created xsi:type="dcterms:W3CDTF">2026-01-30T17:27:00Z</dcterms:created>
  <dcterms:modified xsi:type="dcterms:W3CDTF">2026-02-10T03:58:00Z</dcterms:modified>
</cp:coreProperties>
</file>